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B2328" w14:textId="4928108E" w:rsidR="001659BC" w:rsidRDefault="00EC73CE" w:rsidP="005E6C27">
      <w:pPr>
        <w:spacing w:after="0"/>
        <w:rPr>
          <w:color w:val="4AAE67"/>
          <w:sz w:val="48"/>
        </w:rPr>
      </w:pPr>
      <w:r w:rsidRPr="001659BC">
        <w:rPr>
          <w:noProof/>
          <w:color w:val="C45911" w:themeColor="accent2" w:themeShade="BF"/>
          <w:sz w:val="48"/>
        </w:rPr>
        <w:drawing>
          <wp:anchor distT="0" distB="0" distL="114300" distR="114300" simplePos="0" relativeHeight="251658240" behindDoc="0" locked="0" layoutInCell="1" allowOverlap="1" wp14:anchorId="1B9988C5" wp14:editId="2AF08A6C">
            <wp:simplePos x="0" y="0"/>
            <wp:positionH relativeFrom="margin">
              <wp:align>center</wp:align>
            </wp:positionH>
            <wp:positionV relativeFrom="paragraph">
              <wp:posOffset>-376555</wp:posOffset>
            </wp:positionV>
            <wp:extent cx="3778911" cy="8915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olor-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42" b="37802"/>
                    <a:stretch/>
                  </pic:blipFill>
                  <pic:spPr bwMode="auto">
                    <a:xfrm>
                      <a:off x="0" y="0"/>
                      <a:ext cx="3778911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C27" w:rsidRPr="001659BC">
        <w:rPr>
          <w:color w:val="4AAE67"/>
          <w:sz w:val="48"/>
        </w:rPr>
        <w:tab/>
      </w:r>
    </w:p>
    <w:p w14:paraId="7FB050A5" w14:textId="6D00A386" w:rsidR="005E6C27" w:rsidRPr="001659BC" w:rsidRDefault="005E6C27" w:rsidP="005E6C27">
      <w:pPr>
        <w:spacing w:after="0"/>
        <w:rPr>
          <w:color w:val="4AAE67"/>
          <w:sz w:val="48"/>
        </w:rPr>
      </w:pPr>
      <w:r w:rsidRPr="001659BC">
        <w:rPr>
          <w:color w:val="4AAE67"/>
          <w:sz w:val="48"/>
        </w:rPr>
        <w:tab/>
      </w:r>
      <w:r w:rsidRPr="001659BC">
        <w:rPr>
          <w:color w:val="4AAE67"/>
          <w:sz w:val="48"/>
        </w:rPr>
        <w:tab/>
      </w:r>
      <w:r w:rsidRPr="001659BC">
        <w:rPr>
          <w:color w:val="4AAE67"/>
          <w:sz w:val="48"/>
        </w:rPr>
        <w:tab/>
      </w:r>
      <w:r w:rsidRPr="001659BC">
        <w:rPr>
          <w:color w:val="4AAE67"/>
          <w:sz w:val="48"/>
        </w:rPr>
        <w:tab/>
      </w:r>
      <w:r w:rsidRPr="001659BC">
        <w:rPr>
          <w:color w:val="4AAE67"/>
          <w:sz w:val="48"/>
        </w:rPr>
        <w:tab/>
      </w:r>
    </w:p>
    <w:p w14:paraId="5CAC8080" w14:textId="71F1C305" w:rsidR="005E6C27" w:rsidRPr="002E3766" w:rsidRDefault="005E6C27" w:rsidP="001659BC">
      <w:pPr>
        <w:spacing w:after="0"/>
        <w:jc w:val="center"/>
        <w:rPr>
          <w:rFonts w:cstheme="minorHAnsi"/>
          <w:color w:val="000000" w:themeColor="text1"/>
          <w:sz w:val="40"/>
          <w:u w:val="single"/>
        </w:rPr>
      </w:pPr>
      <w:r w:rsidRPr="002E3766">
        <w:rPr>
          <w:rFonts w:cstheme="minorHAnsi"/>
          <w:color w:val="000000" w:themeColor="text1"/>
          <w:sz w:val="40"/>
          <w:u w:val="single"/>
        </w:rPr>
        <w:t>LOCAL BUSINESS SUPPORT PROGRAM</w:t>
      </w:r>
    </w:p>
    <w:p w14:paraId="60CAA569" w14:textId="2E601746" w:rsidR="009D2F11" w:rsidRPr="002E3766" w:rsidRDefault="00E4777A" w:rsidP="001659BC">
      <w:pPr>
        <w:spacing w:after="0"/>
        <w:jc w:val="center"/>
        <w:rPr>
          <w:color w:val="000000" w:themeColor="text1"/>
          <w:sz w:val="26"/>
          <w:szCs w:val="26"/>
        </w:rPr>
      </w:pPr>
      <w:r w:rsidRPr="002E3766">
        <w:rPr>
          <w:color w:val="000000" w:themeColor="text1"/>
          <w:sz w:val="26"/>
          <w:szCs w:val="26"/>
        </w:rPr>
        <w:t xml:space="preserve">Overview </w:t>
      </w:r>
      <w:r w:rsidR="009D2F11" w:rsidRPr="002E3766">
        <w:rPr>
          <w:color w:val="000000" w:themeColor="text1"/>
          <w:sz w:val="26"/>
          <w:szCs w:val="26"/>
        </w:rPr>
        <w:t xml:space="preserve">of </w:t>
      </w:r>
      <w:r w:rsidR="005E6C27" w:rsidRPr="002E3766">
        <w:rPr>
          <w:color w:val="000000" w:themeColor="text1"/>
          <w:sz w:val="26"/>
          <w:szCs w:val="26"/>
        </w:rPr>
        <w:t>Commercial Exterior Grant</w:t>
      </w:r>
      <w:r w:rsidR="00521571" w:rsidRPr="002E3766">
        <w:rPr>
          <w:color w:val="000000" w:themeColor="text1"/>
          <w:sz w:val="26"/>
          <w:szCs w:val="26"/>
        </w:rPr>
        <w:t xml:space="preserve"> </w:t>
      </w:r>
      <w:r w:rsidR="00C95879" w:rsidRPr="002E3766">
        <w:rPr>
          <w:color w:val="000000" w:themeColor="text1"/>
          <w:sz w:val="26"/>
          <w:szCs w:val="26"/>
        </w:rPr>
        <w:t xml:space="preserve">and </w:t>
      </w:r>
      <w:r w:rsidR="005E6C27" w:rsidRPr="002E3766">
        <w:rPr>
          <w:color w:val="000000" w:themeColor="text1"/>
          <w:sz w:val="26"/>
          <w:szCs w:val="26"/>
        </w:rPr>
        <w:t>Sign Grant</w:t>
      </w:r>
      <w:r w:rsidR="00C95879" w:rsidRPr="002E3766">
        <w:rPr>
          <w:color w:val="000000" w:themeColor="text1"/>
          <w:sz w:val="26"/>
          <w:szCs w:val="26"/>
        </w:rPr>
        <w:t xml:space="preserve"> Programs</w:t>
      </w:r>
    </w:p>
    <w:p w14:paraId="68046BF8" w14:textId="77777777" w:rsidR="009D2F11" w:rsidRPr="002E3766" w:rsidRDefault="009D2F11" w:rsidP="00C95879">
      <w:pPr>
        <w:spacing w:line="240" w:lineRule="auto"/>
        <w:rPr>
          <w:b/>
          <w:color w:val="000000" w:themeColor="text1"/>
        </w:rPr>
      </w:pPr>
    </w:p>
    <w:p w14:paraId="0CAF09E6" w14:textId="079ED169" w:rsidR="000F7D43" w:rsidRPr="002E3766" w:rsidRDefault="00C95879" w:rsidP="00C95879">
      <w:pPr>
        <w:spacing w:line="240" w:lineRule="auto"/>
        <w:rPr>
          <w:rFonts w:ascii="Calibri" w:eastAsia="Times New Roman" w:hAnsi="Calibri" w:cs="Calibri"/>
          <w:bCs/>
          <w:i/>
          <w:iCs/>
          <w:color w:val="000000" w:themeColor="text1"/>
          <w:sz w:val="28"/>
          <w:szCs w:val="28"/>
        </w:rPr>
      </w:pPr>
      <w:r w:rsidRPr="002E3766">
        <w:rPr>
          <w:b/>
          <w:color w:val="000000" w:themeColor="text1"/>
          <w:sz w:val="28"/>
        </w:rPr>
        <w:t>Program Objectives:</w:t>
      </w:r>
      <w:r w:rsidRPr="002E3766">
        <w:rPr>
          <w:color w:val="000000" w:themeColor="text1"/>
          <w:sz w:val="28"/>
        </w:rPr>
        <w:t xml:space="preserve">  </w:t>
      </w:r>
      <w:r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>Encoura</w:t>
      </w:r>
      <w:r w:rsidR="00D80926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>ge business and property owners</w:t>
      </w:r>
      <w:r w:rsidR="00EC73CE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to enhance </w:t>
      </w:r>
      <w:r w:rsidR="009D2F11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building </w:t>
      </w:r>
      <w:r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appearance; creating a </w:t>
      </w:r>
      <w:r w:rsidR="00850CFF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>positive, inviting</w:t>
      </w:r>
      <w:r w:rsidR="009D2F11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 and thriving </w:t>
      </w:r>
      <w:r w:rsidR="00C16662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>business</w:t>
      </w:r>
      <w:r w:rsidR="009D2F11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 district </w:t>
      </w:r>
      <w:r w:rsidR="000F7D43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image </w:t>
      </w:r>
      <w:r w:rsidR="009D2F11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>that</w:t>
      </w:r>
      <w:r w:rsidR="000F7D43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 xml:space="preserve"> visually encourages persons to spend time in </w:t>
      </w:r>
      <w:r w:rsidR="00EC73CE" w:rsidRPr="002E3766">
        <w:rPr>
          <w:rFonts w:ascii="Calibri" w:eastAsia="Times New Roman" w:hAnsi="Calibri" w:cs="Calibri"/>
          <w:bCs/>
          <w:iCs/>
          <w:color w:val="000000" w:themeColor="text1"/>
          <w:sz w:val="28"/>
          <w:szCs w:val="28"/>
        </w:rPr>
        <w:t>Iowa County.</w:t>
      </w:r>
      <w:r w:rsidR="000F7D43" w:rsidRPr="002E3766">
        <w:rPr>
          <w:rFonts w:ascii="Calibri" w:eastAsia="Times New Roman" w:hAnsi="Calibri" w:cs="Calibri"/>
          <w:bCs/>
          <w:i/>
          <w:iCs/>
          <w:color w:val="000000" w:themeColor="text1"/>
          <w:sz w:val="28"/>
          <w:szCs w:val="28"/>
        </w:rPr>
        <w:t xml:space="preserve">  </w:t>
      </w:r>
    </w:p>
    <w:p w14:paraId="321B793F" w14:textId="77777777" w:rsidR="000F7D43" w:rsidRPr="002E3766" w:rsidRDefault="000F7D43" w:rsidP="000F7D43">
      <w:pPr>
        <w:spacing w:line="240" w:lineRule="auto"/>
        <w:rPr>
          <w:rFonts w:eastAsia="Times New Roman" w:cstheme="minorHAnsi"/>
          <w:bCs/>
          <w:iCs/>
          <w:color w:val="000000" w:themeColor="text1"/>
          <w:sz w:val="24"/>
          <w:szCs w:val="28"/>
          <w:u w:val="single"/>
        </w:rPr>
      </w:pPr>
      <w:r w:rsidRPr="002E3766">
        <w:rPr>
          <w:rFonts w:eastAsia="Times New Roman" w:cstheme="minorHAnsi"/>
          <w:bCs/>
          <w:iCs/>
          <w:color w:val="000000" w:themeColor="text1"/>
          <w:sz w:val="24"/>
          <w:szCs w:val="28"/>
          <w:u w:val="single"/>
        </w:rPr>
        <w:t>Intended to Assist with the Following:</w:t>
      </w:r>
    </w:p>
    <w:p w14:paraId="630744AB" w14:textId="77777777" w:rsidR="000F7D43" w:rsidRPr="002E3766" w:rsidRDefault="000F7D43" w:rsidP="000F7D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iCs/>
          <w:color w:val="000000" w:themeColor="text1"/>
          <w:sz w:val="24"/>
          <w:szCs w:val="28"/>
        </w:rPr>
      </w:pPr>
      <w:r w:rsidRPr="002E3766">
        <w:rPr>
          <w:rFonts w:eastAsia="Times New Roman" w:cstheme="minorHAnsi"/>
          <w:bCs/>
          <w:iCs/>
          <w:color w:val="000000" w:themeColor="text1"/>
          <w:sz w:val="24"/>
          <w:szCs w:val="28"/>
        </w:rPr>
        <w:t>Eliminate deterioration of buildings.</w:t>
      </w:r>
    </w:p>
    <w:p w14:paraId="28E24BB5" w14:textId="77777777" w:rsidR="000F7D43" w:rsidRPr="002E3766" w:rsidRDefault="000F7D43" w:rsidP="000F7D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iCs/>
          <w:color w:val="000000" w:themeColor="text1"/>
          <w:sz w:val="24"/>
          <w:szCs w:val="28"/>
        </w:rPr>
      </w:pPr>
      <w:r w:rsidRPr="002E3766">
        <w:rPr>
          <w:rFonts w:eastAsia="Times New Roman" w:cstheme="minorHAnsi"/>
          <w:bCs/>
          <w:iCs/>
          <w:color w:val="000000" w:themeColor="text1"/>
          <w:sz w:val="24"/>
          <w:szCs w:val="28"/>
        </w:rPr>
        <w:t>Restore and Preserve Properties.</w:t>
      </w:r>
    </w:p>
    <w:p w14:paraId="0C7F34B3" w14:textId="77777777" w:rsidR="000F7D43" w:rsidRPr="002E3766" w:rsidRDefault="000F7D43" w:rsidP="000F7D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iCs/>
          <w:color w:val="000000" w:themeColor="text1"/>
          <w:sz w:val="24"/>
          <w:szCs w:val="28"/>
        </w:rPr>
      </w:pPr>
      <w:r w:rsidRPr="002E3766">
        <w:rPr>
          <w:rFonts w:eastAsia="Times New Roman" w:cstheme="minorHAnsi"/>
          <w:bCs/>
          <w:iCs/>
          <w:color w:val="000000" w:themeColor="text1"/>
          <w:sz w:val="24"/>
          <w:szCs w:val="28"/>
        </w:rPr>
        <w:t>Be a catalyst for larger improvements and development.</w:t>
      </w:r>
    </w:p>
    <w:p w14:paraId="0715779F" w14:textId="77777777" w:rsidR="000F7D43" w:rsidRPr="002E3766" w:rsidRDefault="00061F7B" w:rsidP="000F7D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iCs/>
          <w:color w:val="000000" w:themeColor="text1"/>
          <w:sz w:val="24"/>
          <w:szCs w:val="28"/>
        </w:rPr>
      </w:pPr>
      <w:r w:rsidRPr="002E3766">
        <w:rPr>
          <w:rFonts w:eastAsia="Times New Roman" w:cstheme="minorHAnsi"/>
          <w:bCs/>
          <w:iCs/>
          <w:color w:val="000000" w:themeColor="text1"/>
          <w:sz w:val="24"/>
          <w:szCs w:val="28"/>
        </w:rPr>
        <w:t>Eliminate</w:t>
      </w:r>
      <w:r w:rsidR="000F7D43" w:rsidRPr="002E3766">
        <w:rPr>
          <w:rFonts w:eastAsia="Times New Roman" w:cstheme="minorHAnsi"/>
          <w:bCs/>
          <w:iCs/>
          <w:color w:val="000000" w:themeColor="text1"/>
          <w:sz w:val="24"/>
          <w:szCs w:val="28"/>
        </w:rPr>
        <w:t xml:space="preserve"> vacancies.</w:t>
      </w:r>
    </w:p>
    <w:p w14:paraId="5D9AB1E7" w14:textId="77777777" w:rsidR="000F7D43" w:rsidRPr="002E3766" w:rsidRDefault="000F7D43" w:rsidP="000F7D43">
      <w:pPr>
        <w:spacing w:line="240" w:lineRule="auto"/>
        <w:rPr>
          <w:b/>
          <w:color w:val="000000" w:themeColor="text1"/>
          <w:sz w:val="28"/>
        </w:rPr>
      </w:pPr>
    </w:p>
    <w:p w14:paraId="12A7CC07" w14:textId="1C6C9B08" w:rsidR="006015B3" w:rsidRPr="002E3766" w:rsidRDefault="006015B3" w:rsidP="006015B3">
      <w:pPr>
        <w:spacing w:line="240" w:lineRule="auto"/>
        <w:rPr>
          <w:color w:val="000000" w:themeColor="text1"/>
          <w:sz w:val="28"/>
        </w:rPr>
      </w:pPr>
      <w:r w:rsidRPr="002E3766">
        <w:rPr>
          <w:b/>
          <w:color w:val="000000" w:themeColor="text1"/>
          <w:sz w:val="28"/>
        </w:rPr>
        <w:t xml:space="preserve">Eligible Project Area: </w:t>
      </w:r>
      <w:r w:rsidR="00C16662">
        <w:rPr>
          <w:color w:val="000000" w:themeColor="text1"/>
          <w:sz w:val="28"/>
        </w:rPr>
        <w:t>Open to all Iowa County businesses</w:t>
      </w:r>
      <w:r w:rsidR="00EC73CE" w:rsidRPr="002E3766">
        <w:rPr>
          <w:color w:val="000000" w:themeColor="text1"/>
          <w:sz w:val="28"/>
        </w:rPr>
        <w:t xml:space="preserve">. </w:t>
      </w:r>
      <w:r w:rsidRPr="002E3766">
        <w:rPr>
          <w:color w:val="000000" w:themeColor="text1"/>
          <w:sz w:val="28"/>
        </w:rPr>
        <w:t xml:space="preserve"> Businesses operating out of a residence are excluded.  </w:t>
      </w:r>
      <w:r w:rsidR="00A70346" w:rsidRPr="002E3766">
        <w:rPr>
          <w:color w:val="000000" w:themeColor="text1"/>
          <w:sz w:val="28"/>
        </w:rPr>
        <w:t xml:space="preserve">Assessor </w:t>
      </w:r>
      <w:r w:rsidR="005D2CCE" w:rsidRPr="002E3766">
        <w:rPr>
          <w:color w:val="000000" w:themeColor="text1"/>
          <w:sz w:val="28"/>
        </w:rPr>
        <w:t>c</w:t>
      </w:r>
      <w:r w:rsidR="00A70346" w:rsidRPr="002E3766">
        <w:rPr>
          <w:color w:val="000000" w:themeColor="text1"/>
          <w:sz w:val="28"/>
        </w:rPr>
        <w:t xml:space="preserve">lassified </w:t>
      </w:r>
      <w:r w:rsidR="005D2CCE" w:rsidRPr="002E3766">
        <w:rPr>
          <w:color w:val="000000" w:themeColor="text1"/>
          <w:sz w:val="28"/>
        </w:rPr>
        <w:t>c</w:t>
      </w:r>
      <w:r w:rsidRPr="002E3766">
        <w:rPr>
          <w:color w:val="000000" w:themeColor="text1"/>
          <w:sz w:val="28"/>
        </w:rPr>
        <w:t>ommercial properties</w:t>
      </w:r>
      <w:r w:rsidR="00EC73CE" w:rsidRPr="002E3766">
        <w:rPr>
          <w:color w:val="000000" w:themeColor="text1"/>
          <w:sz w:val="28"/>
        </w:rPr>
        <w:t>.</w:t>
      </w:r>
    </w:p>
    <w:p w14:paraId="41B9AE2C" w14:textId="77777777" w:rsidR="000F4E38" w:rsidRPr="002E3766" w:rsidRDefault="000F4E38" w:rsidP="000F4E38">
      <w:pPr>
        <w:spacing w:after="0" w:line="240" w:lineRule="auto"/>
        <w:rPr>
          <w:b/>
          <w:color w:val="000000" w:themeColor="text1"/>
          <w:sz w:val="28"/>
        </w:rPr>
      </w:pPr>
    </w:p>
    <w:p w14:paraId="0B5BB4DD" w14:textId="77777777" w:rsidR="000F7D43" w:rsidRPr="002E3766" w:rsidRDefault="00827196" w:rsidP="000F4E38">
      <w:pPr>
        <w:spacing w:after="0" w:line="240" w:lineRule="auto"/>
        <w:rPr>
          <w:b/>
          <w:color w:val="000000" w:themeColor="text1"/>
          <w:sz w:val="28"/>
        </w:rPr>
      </w:pPr>
      <w:r w:rsidRPr="002E3766">
        <w:rPr>
          <w:b/>
          <w:color w:val="000000" w:themeColor="text1"/>
          <w:sz w:val="28"/>
        </w:rPr>
        <w:t>Program Overview</w:t>
      </w:r>
      <w:r w:rsidR="000F7D43" w:rsidRPr="002E3766">
        <w:rPr>
          <w:b/>
          <w:color w:val="000000" w:themeColor="text1"/>
          <w:sz w:val="28"/>
        </w:rPr>
        <w:t>:</w:t>
      </w:r>
    </w:p>
    <w:p w14:paraId="583644D2" w14:textId="77777777" w:rsidR="00362275" w:rsidRPr="002E3766" w:rsidRDefault="00A00364" w:rsidP="00362275">
      <w:pPr>
        <w:spacing w:after="0" w:line="240" w:lineRule="auto"/>
        <w:rPr>
          <w:color w:val="000000" w:themeColor="text1"/>
          <w:sz w:val="28"/>
          <w:u w:val="single"/>
        </w:rPr>
      </w:pPr>
      <w:r w:rsidRPr="002E3766">
        <w:rPr>
          <w:color w:val="000000" w:themeColor="text1"/>
          <w:sz w:val="28"/>
          <w:u w:val="single"/>
        </w:rPr>
        <w:t>Selection</w:t>
      </w:r>
    </w:p>
    <w:p w14:paraId="34FB1185" w14:textId="729A197A" w:rsidR="00827196" w:rsidRPr="002E3766" w:rsidRDefault="00827196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 xml:space="preserve">Grant program </w:t>
      </w:r>
      <w:r w:rsidR="00EC73CE" w:rsidRPr="002E3766">
        <w:rPr>
          <w:color w:val="000000" w:themeColor="text1"/>
          <w:sz w:val="24"/>
        </w:rPr>
        <w:t xml:space="preserve">ICCD </w:t>
      </w:r>
      <w:r w:rsidRPr="002E3766">
        <w:rPr>
          <w:color w:val="000000" w:themeColor="text1"/>
          <w:sz w:val="24"/>
        </w:rPr>
        <w:t>Sele</w:t>
      </w:r>
      <w:r w:rsidR="00EC73CE" w:rsidRPr="002E3766">
        <w:rPr>
          <w:color w:val="000000" w:themeColor="text1"/>
          <w:sz w:val="24"/>
        </w:rPr>
        <w:t>ction Committee to consist of no less than (3</w:t>
      </w:r>
      <w:r w:rsidRPr="002E3766">
        <w:rPr>
          <w:color w:val="000000" w:themeColor="text1"/>
          <w:sz w:val="24"/>
        </w:rPr>
        <w:t>)</w:t>
      </w:r>
      <w:r w:rsidR="00D80926" w:rsidRPr="002E3766">
        <w:rPr>
          <w:color w:val="000000" w:themeColor="text1"/>
          <w:sz w:val="24"/>
        </w:rPr>
        <w:t xml:space="preserve"> </w:t>
      </w:r>
      <w:r w:rsidR="00EC73CE" w:rsidRPr="002E3766">
        <w:rPr>
          <w:color w:val="000000" w:themeColor="text1"/>
          <w:sz w:val="24"/>
        </w:rPr>
        <w:t>ICCD board members.</w:t>
      </w:r>
      <w:r w:rsidR="00DE7B49" w:rsidRPr="002E3766">
        <w:rPr>
          <w:color w:val="000000" w:themeColor="text1"/>
          <w:sz w:val="24"/>
        </w:rPr>
        <w:t xml:space="preserve"> </w:t>
      </w:r>
    </w:p>
    <w:p w14:paraId="1EDBDE01" w14:textId="6343B4A8" w:rsidR="00A00364" w:rsidRPr="002E3766" w:rsidRDefault="00A00364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 xml:space="preserve">Program to be administered by the </w:t>
      </w:r>
      <w:r w:rsidR="00EC73CE" w:rsidRPr="002E3766">
        <w:rPr>
          <w:color w:val="000000" w:themeColor="text1"/>
          <w:sz w:val="24"/>
        </w:rPr>
        <w:t>Community Director.</w:t>
      </w:r>
    </w:p>
    <w:p w14:paraId="73E09929" w14:textId="01C3B3A5" w:rsidR="00827196" w:rsidRPr="002E3766" w:rsidRDefault="00827196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 xml:space="preserve">Applications to be reviewed by the </w:t>
      </w:r>
      <w:r w:rsidR="002E3766">
        <w:rPr>
          <w:color w:val="000000" w:themeColor="text1"/>
          <w:sz w:val="24"/>
        </w:rPr>
        <w:t>Selection Committee within 3</w:t>
      </w:r>
      <w:r w:rsidRPr="002E3766">
        <w:rPr>
          <w:color w:val="000000" w:themeColor="text1"/>
          <w:sz w:val="24"/>
        </w:rPr>
        <w:t xml:space="preserve">0 </w:t>
      </w:r>
      <w:r w:rsidR="00A00364" w:rsidRPr="002E3766">
        <w:rPr>
          <w:color w:val="000000" w:themeColor="text1"/>
          <w:sz w:val="24"/>
        </w:rPr>
        <w:t xml:space="preserve">business </w:t>
      </w:r>
      <w:r w:rsidRPr="002E3766">
        <w:rPr>
          <w:color w:val="000000" w:themeColor="text1"/>
          <w:sz w:val="24"/>
        </w:rPr>
        <w:t>days of receipt.</w:t>
      </w:r>
    </w:p>
    <w:p w14:paraId="0A60C112" w14:textId="38F45684" w:rsidR="00827196" w:rsidRDefault="00827196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 xml:space="preserve">Applications recommended for grant approval by </w:t>
      </w:r>
      <w:r w:rsidR="00EC73CE" w:rsidRPr="002E3766">
        <w:rPr>
          <w:color w:val="000000" w:themeColor="text1"/>
          <w:sz w:val="24"/>
        </w:rPr>
        <w:t>ICCD Selection Committee to</w:t>
      </w:r>
      <w:r w:rsidRPr="002E3766">
        <w:rPr>
          <w:color w:val="000000" w:themeColor="text1"/>
          <w:sz w:val="24"/>
        </w:rPr>
        <w:t xml:space="preserve"> </w:t>
      </w:r>
      <w:r w:rsidR="00DE7B49" w:rsidRPr="002E3766">
        <w:rPr>
          <w:color w:val="000000" w:themeColor="text1"/>
          <w:sz w:val="24"/>
        </w:rPr>
        <w:t xml:space="preserve">be reviewed for consideration for </w:t>
      </w:r>
      <w:r w:rsidR="00EC73CE" w:rsidRPr="002E3766">
        <w:rPr>
          <w:color w:val="000000" w:themeColor="text1"/>
          <w:sz w:val="24"/>
        </w:rPr>
        <w:t>board</w:t>
      </w:r>
      <w:r w:rsidRPr="002E3766">
        <w:rPr>
          <w:color w:val="000000" w:themeColor="text1"/>
          <w:sz w:val="24"/>
        </w:rPr>
        <w:t xml:space="preserve"> approval </w:t>
      </w:r>
      <w:r w:rsidR="00A00364" w:rsidRPr="002E3766">
        <w:rPr>
          <w:color w:val="000000" w:themeColor="text1"/>
          <w:sz w:val="24"/>
        </w:rPr>
        <w:t xml:space="preserve">on the </w:t>
      </w:r>
      <w:r w:rsidR="00696DBD">
        <w:rPr>
          <w:color w:val="000000" w:themeColor="text1"/>
          <w:sz w:val="24"/>
        </w:rPr>
        <w:t>second</w:t>
      </w:r>
      <w:r w:rsidR="00A00364" w:rsidRPr="002E3766">
        <w:rPr>
          <w:color w:val="000000" w:themeColor="text1"/>
          <w:sz w:val="24"/>
        </w:rPr>
        <w:t xml:space="preserve"> Wednesday of the month.  </w:t>
      </w:r>
    </w:p>
    <w:p w14:paraId="54492B28" w14:textId="77777777" w:rsidR="009035BD" w:rsidRPr="002E3766" w:rsidRDefault="009035BD" w:rsidP="009035BD">
      <w:pPr>
        <w:pStyle w:val="ListParagraph"/>
        <w:spacing w:after="0" w:line="240" w:lineRule="auto"/>
        <w:rPr>
          <w:color w:val="000000" w:themeColor="text1"/>
          <w:sz w:val="24"/>
        </w:rPr>
      </w:pPr>
    </w:p>
    <w:p w14:paraId="3CDB76BA" w14:textId="743380C2" w:rsidR="00A00364" w:rsidRPr="002E3766" w:rsidRDefault="002E3766" w:rsidP="00A00364">
      <w:pPr>
        <w:spacing w:after="0" w:line="240" w:lineRule="auto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Guidelines</w:t>
      </w:r>
    </w:p>
    <w:p w14:paraId="4A669756" w14:textId="29C800C5" w:rsidR="00F86375" w:rsidRPr="002E3766" w:rsidRDefault="002E3766" w:rsidP="00501B88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Application window is March 1</w:t>
      </w:r>
      <w:r w:rsidRPr="002E3766">
        <w:rPr>
          <w:color w:val="000000" w:themeColor="text1"/>
          <w:sz w:val="24"/>
          <w:vertAlign w:val="superscript"/>
        </w:rPr>
        <w:t>st</w:t>
      </w:r>
      <w:r>
        <w:rPr>
          <w:color w:val="000000" w:themeColor="text1"/>
          <w:sz w:val="24"/>
        </w:rPr>
        <w:t xml:space="preserve"> – 31</w:t>
      </w:r>
      <w:r w:rsidRPr="002E3766">
        <w:rPr>
          <w:color w:val="000000" w:themeColor="text1"/>
          <w:sz w:val="24"/>
          <w:vertAlign w:val="superscript"/>
        </w:rPr>
        <w:t>st</w:t>
      </w:r>
      <w:r w:rsidR="00C16662">
        <w:rPr>
          <w:color w:val="000000" w:themeColor="text1"/>
          <w:sz w:val="24"/>
        </w:rPr>
        <w:t xml:space="preserve"> 2026</w:t>
      </w:r>
      <w:r>
        <w:rPr>
          <w:color w:val="000000" w:themeColor="text1"/>
          <w:sz w:val="24"/>
        </w:rPr>
        <w:t>.</w:t>
      </w:r>
      <w:r w:rsidRPr="002E3766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Applications will be reviewed and awardees selection a</w:t>
      </w:r>
      <w:r w:rsidR="00CE4ACD">
        <w:rPr>
          <w:color w:val="000000" w:themeColor="text1"/>
          <w:sz w:val="24"/>
        </w:rPr>
        <w:t>nd announced no later than May 15</w:t>
      </w:r>
      <w:r w:rsidR="00CE4ACD" w:rsidRPr="00CE4ACD">
        <w:rPr>
          <w:color w:val="000000" w:themeColor="text1"/>
          <w:sz w:val="24"/>
          <w:vertAlign w:val="superscript"/>
        </w:rPr>
        <w:t>th</w:t>
      </w:r>
      <w:r w:rsidR="00CE4ACD">
        <w:rPr>
          <w:color w:val="000000" w:themeColor="text1"/>
          <w:sz w:val="24"/>
        </w:rPr>
        <w:t xml:space="preserve"> </w:t>
      </w:r>
      <w:bookmarkStart w:id="0" w:name="_GoBack"/>
      <w:bookmarkEnd w:id="0"/>
      <w:r w:rsidR="009035BD">
        <w:rPr>
          <w:color w:val="000000" w:themeColor="text1"/>
          <w:sz w:val="24"/>
        </w:rPr>
        <w:t>2026</w:t>
      </w:r>
      <w:r>
        <w:rPr>
          <w:color w:val="000000" w:themeColor="text1"/>
          <w:sz w:val="24"/>
        </w:rPr>
        <w:t xml:space="preserve">. </w:t>
      </w:r>
    </w:p>
    <w:p w14:paraId="5CC888F2" w14:textId="20DD0370" w:rsidR="00A00364" w:rsidRPr="002E3766" w:rsidRDefault="00A00364" w:rsidP="00F8637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bookmarkStart w:id="1" w:name="_Hlk170473149"/>
      <w:r w:rsidRPr="002E3766">
        <w:rPr>
          <w:color w:val="000000" w:themeColor="text1"/>
          <w:sz w:val="24"/>
        </w:rPr>
        <w:t xml:space="preserve">Upon depletion of grant funding, receipt of applications will be discontinued until the following year.  </w:t>
      </w:r>
      <w:r w:rsidR="00F86375" w:rsidRPr="002E3766">
        <w:rPr>
          <w:color w:val="000000" w:themeColor="text1"/>
          <w:sz w:val="24"/>
        </w:rPr>
        <w:t>Excess funds to be carried over.</w:t>
      </w:r>
    </w:p>
    <w:bookmarkEnd w:id="1"/>
    <w:p w14:paraId="143A896D" w14:textId="77777777" w:rsidR="00A00364" w:rsidRPr="002E3766" w:rsidRDefault="00A00364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 xml:space="preserve">Labor costs only reimbursed for qualified </w:t>
      </w:r>
      <w:r w:rsidR="00F86375" w:rsidRPr="002E3766">
        <w:rPr>
          <w:color w:val="000000" w:themeColor="text1"/>
          <w:sz w:val="24"/>
        </w:rPr>
        <w:t>third-party</w:t>
      </w:r>
      <w:r w:rsidRPr="002E3766">
        <w:rPr>
          <w:color w:val="000000" w:themeColor="text1"/>
          <w:sz w:val="24"/>
        </w:rPr>
        <w:t xml:space="preserve"> contractors, </w:t>
      </w:r>
      <w:r w:rsidR="006B1D5E" w:rsidRPr="002E3766">
        <w:rPr>
          <w:color w:val="000000" w:themeColor="text1"/>
          <w:sz w:val="24"/>
        </w:rPr>
        <w:t xml:space="preserve">not business or property owners.  </w:t>
      </w:r>
    </w:p>
    <w:p w14:paraId="24B6E873" w14:textId="5DDAF339" w:rsidR="00A00364" w:rsidRPr="002E3766" w:rsidRDefault="00A00364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>Funds to be paid by</w:t>
      </w:r>
      <w:r w:rsidR="002E3766">
        <w:rPr>
          <w:color w:val="000000" w:themeColor="text1"/>
          <w:sz w:val="24"/>
        </w:rPr>
        <w:t xml:space="preserve"> reimbursement from</w:t>
      </w:r>
      <w:r w:rsidRPr="002E3766">
        <w:rPr>
          <w:color w:val="000000" w:themeColor="text1"/>
          <w:sz w:val="24"/>
        </w:rPr>
        <w:t xml:space="preserve"> </w:t>
      </w:r>
      <w:r w:rsidR="009366F7" w:rsidRPr="002E3766">
        <w:rPr>
          <w:color w:val="000000" w:themeColor="text1"/>
          <w:sz w:val="24"/>
        </w:rPr>
        <w:t xml:space="preserve">ICCD </w:t>
      </w:r>
      <w:r w:rsidRPr="002E3766">
        <w:rPr>
          <w:color w:val="000000" w:themeColor="text1"/>
          <w:sz w:val="24"/>
        </w:rPr>
        <w:t>upon completion of project and submission of project receipt and proof of payment.</w:t>
      </w:r>
    </w:p>
    <w:p w14:paraId="71CEC8C1" w14:textId="3CC222B5" w:rsidR="002E3766" w:rsidRDefault="002E3766" w:rsidP="00827196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Project must be completed by December 31</w:t>
      </w:r>
      <w:r w:rsidRPr="002E3766">
        <w:rPr>
          <w:color w:val="000000" w:themeColor="text1"/>
          <w:sz w:val="24"/>
          <w:vertAlign w:val="superscript"/>
        </w:rPr>
        <w:t>st</w:t>
      </w:r>
      <w:r w:rsidR="009035BD">
        <w:rPr>
          <w:color w:val="000000" w:themeColor="text1"/>
          <w:sz w:val="24"/>
        </w:rPr>
        <w:t xml:space="preserve"> 2026</w:t>
      </w:r>
      <w:r>
        <w:rPr>
          <w:color w:val="000000" w:themeColor="text1"/>
          <w:sz w:val="24"/>
        </w:rPr>
        <w:t xml:space="preserve">. </w:t>
      </w:r>
    </w:p>
    <w:p w14:paraId="1800530E" w14:textId="24F893DE" w:rsidR="00A00364" w:rsidRPr="002E3766" w:rsidRDefault="00A00364" w:rsidP="002E3766">
      <w:pPr>
        <w:pStyle w:val="ListParagraph"/>
        <w:spacing w:after="0" w:line="240" w:lineRule="auto"/>
        <w:rPr>
          <w:color w:val="000000" w:themeColor="text1"/>
          <w:sz w:val="24"/>
        </w:rPr>
      </w:pPr>
      <w:r w:rsidRPr="002E3766">
        <w:rPr>
          <w:color w:val="000000" w:themeColor="text1"/>
          <w:sz w:val="24"/>
        </w:rPr>
        <w:t xml:space="preserve"> </w:t>
      </w:r>
    </w:p>
    <w:p w14:paraId="5F7EFA4E" w14:textId="77777777" w:rsidR="00362275" w:rsidRPr="002E3766" w:rsidRDefault="00362275" w:rsidP="00F86375">
      <w:pPr>
        <w:spacing w:after="0" w:line="240" w:lineRule="auto"/>
        <w:rPr>
          <w:color w:val="000000" w:themeColor="text1"/>
          <w:sz w:val="28"/>
        </w:rPr>
      </w:pPr>
      <w:r w:rsidRPr="002E3766">
        <w:rPr>
          <w:b/>
          <w:color w:val="000000" w:themeColor="text1"/>
          <w:sz w:val="28"/>
        </w:rPr>
        <w:t xml:space="preserve">Design Guidelines:  </w:t>
      </w:r>
      <w:r w:rsidR="00F86375" w:rsidRPr="002E3766">
        <w:rPr>
          <w:b/>
          <w:color w:val="000000" w:themeColor="text1"/>
          <w:sz w:val="28"/>
        </w:rPr>
        <w:t xml:space="preserve"> </w:t>
      </w:r>
      <w:r w:rsidRPr="002E3766">
        <w:rPr>
          <w:color w:val="000000" w:themeColor="text1"/>
          <w:sz w:val="28"/>
        </w:rPr>
        <w:t xml:space="preserve">It is the expectations of the </w:t>
      </w:r>
      <w:r w:rsidR="00061F7B" w:rsidRPr="002E3766">
        <w:rPr>
          <w:color w:val="000000" w:themeColor="text1"/>
          <w:sz w:val="28"/>
        </w:rPr>
        <w:t>selection</w:t>
      </w:r>
      <w:r w:rsidRPr="002E3766">
        <w:rPr>
          <w:color w:val="000000" w:themeColor="text1"/>
          <w:sz w:val="28"/>
        </w:rPr>
        <w:t xml:space="preserve"> committee that all submitted </w:t>
      </w:r>
      <w:r w:rsidR="002E77A3" w:rsidRPr="002E3766">
        <w:rPr>
          <w:color w:val="000000" w:themeColor="text1"/>
          <w:sz w:val="28"/>
        </w:rPr>
        <w:t xml:space="preserve">project </w:t>
      </w:r>
      <w:r w:rsidR="00FF704E" w:rsidRPr="002E3766">
        <w:rPr>
          <w:color w:val="000000" w:themeColor="text1"/>
          <w:sz w:val="28"/>
        </w:rPr>
        <w:t xml:space="preserve">store front </w:t>
      </w:r>
      <w:r w:rsidRPr="002E3766">
        <w:rPr>
          <w:color w:val="000000" w:themeColor="text1"/>
          <w:sz w:val="28"/>
        </w:rPr>
        <w:t>designs</w:t>
      </w:r>
      <w:r w:rsidR="00B57FF9" w:rsidRPr="002E3766">
        <w:rPr>
          <w:color w:val="000000" w:themeColor="text1"/>
          <w:sz w:val="28"/>
        </w:rPr>
        <w:t>, materials, color schemes</w:t>
      </w:r>
      <w:r w:rsidR="00FF704E" w:rsidRPr="002E3766">
        <w:rPr>
          <w:color w:val="000000" w:themeColor="text1"/>
          <w:sz w:val="28"/>
        </w:rPr>
        <w:t>, signage, windows, lighting and awning selections</w:t>
      </w:r>
      <w:r w:rsidRPr="002E3766">
        <w:rPr>
          <w:color w:val="000000" w:themeColor="text1"/>
          <w:sz w:val="28"/>
        </w:rPr>
        <w:t xml:space="preserve"> will </w:t>
      </w:r>
      <w:r w:rsidR="002E77A3" w:rsidRPr="002E3766">
        <w:rPr>
          <w:color w:val="000000" w:themeColor="text1"/>
          <w:sz w:val="28"/>
        </w:rPr>
        <w:t xml:space="preserve">follow the basic principles and best practices of the </w:t>
      </w:r>
      <w:r w:rsidRPr="002E3766">
        <w:rPr>
          <w:color w:val="000000" w:themeColor="text1"/>
          <w:sz w:val="28"/>
        </w:rPr>
        <w:t xml:space="preserve">Downtown Design Guide administered by Iowa Economic Development.   </w:t>
      </w:r>
    </w:p>
    <w:p w14:paraId="25556159" w14:textId="77777777" w:rsidR="00362275" w:rsidRPr="002E3766" w:rsidRDefault="00362275" w:rsidP="00362275">
      <w:pPr>
        <w:spacing w:after="0" w:line="240" w:lineRule="auto"/>
        <w:rPr>
          <w:b/>
          <w:color w:val="000000" w:themeColor="text1"/>
          <w:sz w:val="28"/>
        </w:rPr>
      </w:pPr>
    </w:p>
    <w:p w14:paraId="57845318" w14:textId="77777777" w:rsidR="008F7447" w:rsidRPr="002E3766" w:rsidRDefault="008F7447" w:rsidP="00362275">
      <w:pPr>
        <w:spacing w:after="0" w:line="240" w:lineRule="auto"/>
        <w:rPr>
          <w:b/>
          <w:color w:val="000000" w:themeColor="text1"/>
          <w:sz w:val="28"/>
        </w:rPr>
      </w:pPr>
    </w:p>
    <w:p w14:paraId="1094B6E6" w14:textId="77777777" w:rsidR="008F7447" w:rsidRPr="002E3766" w:rsidRDefault="008F7447" w:rsidP="00362275">
      <w:pPr>
        <w:spacing w:after="0" w:line="240" w:lineRule="auto"/>
        <w:rPr>
          <w:b/>
          <w:color w:val="000000" w:themeColor="text1"/>
          <w:sz w:val="28"/>
        </w:rPr>
      </w:pPr>
    </w:p>
    <w:p w14:paraId="34395F36" w14:textId="77777777" w:rsidR="00362275" w:rsidRPr="002E3766" w:rsidRDefault="00362275" w:rsidP="00362275">
      <w:pPr>
        <w:spacing w:after="0" w:line="240" w:lineRule="auto"/>
        <w:rPr>
          <w:color w:val="000000" w:themeColor="text1"/>
          <w:sz w:val="48"/>
          <w:szCs w:val="48"/>
        </w:rPr>
      </w:pPr>
      <w:r w:rsidRPr="002E3766">
        <w:rPr>
          <w:color w:val="000000" w:themeColor="text1"/>
          <w:sz w:val="48"/>
          <w:szCs w:val="48"/>
        </w:rPr>
        <w:t>Grant Types:</w:t>
      </w:r>
    </w:p>
    <w:p w14:paraId="1806634D" w14:textId="77777777" w:rsidR="00C34918" w:rsidRPr="002E3766" w:rsidRDefault="00C34918" w:rsidP="00362275">
      <w:pPr>
        <w:spacing w:after="0" w:line="240" w:lineRule="auto"/>
        <w:rPr>
          <w:b/>
          <w:color w:val="000000" w:themeColor="text1"/>
          <w:sz w:val="28"/>
        </w:rPr>
      </w:pPr>
    </w:p>
    <w:p w14:paraId="481C3BCB" w14:textId="77777777" w:rsidR="00C34918" w:rsidRPr="002E3766" w:rsidRDefault="00C34918" w:rsidP="002E77A3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30"/>
          <w:szCs w:val="30"/>
        </w:rPr>
      </w:pPr>
      <w:r w:rsidRPr="002E3766">
        <w:rPr>
          <w:rFonts w:ascii="Arial Black" w:hAnsi="Arial Black"/>
          <w:b/>
          <w:color w:val="000000" w:themeColor="text1"/>
          <w:sz w:val="30"/>
          <w:szCs w:val="30"/>
        </w:rPr>
        <w:t>COMMERCIAL EXTERIOR GRANT</w:t>
      </w:r>
    </w:p>
    <w:tbl>
      <w:tblPr>
        <w:tblStyle w:val="TableGrid"/>
        <w:tblpPr w:leftFromText="180" w:rightFromText="180" w:vertAnchor="text" w:horzAnchor="margin" w:tblpY="78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10535"/>
      </w:tblGrid>
      <w:tr w:rsidR="002E3766" w:rsidRPr="002E3766" w14:paraId="5E742B73" w14:textId="77777777" w:rsidTr="002E3766">
        <w:trPr>
          <w:trHeight w:hRule="exact" w:val="72"/>
        </w:trPr>
        <w:tc>
          <w:tcPr>
            <w:tcW w:w="10535" w:type="dxa"/>
            <w:shd w:val="clear" w:color="auto" w:fill="A8D08D" w:themeFill="accent6" w:themeFillTint="99"/>
          </w:tcPr>
          <w:p w14:paraId="7E2EA4C6" w14:textId="77777777" w:rsidR="00F86375" w:rsidRPr="002E3766" w:rsidRDefault="00F86375" w:rsidP="002C799A">
            <w:pPr>
              <w:spacing w:line="240" w:lineRule="auto"/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24"/>
                <w:szCs w:val="28"/>
              </w:rPr>
            </w:pPr>
          </w:p>
        </w:tc>
      </w:tr>
    </w:tbl>
    <w:p w14:paraId="29B3CDCB" w14:textId="77777777" w:rsidR="00C34918" w:rsidRPr="002E3766" w:rsidRDefault="00C34918" w:rsidP="00362275">
      <w:pPr>
        <w:spacing w:after="0" w:line="240" w:lineRule="auto"/>
        <w:rPr>
          <w:color w:val="000000" w:themeColor="text1"/>
          <w:sz w:val="28"/>
        </w:rPr>
      </w:pPr>
    </w:p>
    <w:tbl>
      <w:tblPr>
        <w:tblStyle w:val="TableGrid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9027"/>
      </w:tblGrid>
      <w:tr w:rsidR="002E3766" w:rsidRPr="002E3766" w14:paraId="5F93E18B" w14:textId="77777777" w:rsidTr="002E3766">
        <w:tc>
          <w:tcPr>
            <w:tcW w:w="1743" w:type="dxa"/>
            <w:shd w:val="clear" w:color="auto" w:fill="A8D08D" w:themeFill="accent6" w:themeFillTint="99"/>
            <w:vAlign w:val="center"/>
          </w:tcPr>
          <w:p w14:paraId="71EAB79D" w14:textId="77777777" w:rsidR="00C34918" w:rsidRPr="002E3766" w:rsidRDefault="008F7447" w:rsidP="00C16773">
            <w:pPr>
              <w:spacing w:line="240" w:lineRule="auto"/>
              <w:jc w:val="right"/>
              <w:rPr>
                <w:b/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 xml:space="preserve"> Who Qualifies:</w:t>
            </w:r>
          </w:p>
        </w:tc>
        <w:tc>
          <w:tcPr>
            <w:tcW w:w="9047" w:type="dxa"/>
            <w:shd w:val="clear" w:color="auto" w:fill="A8D08D" w:themeFill="accent6" w:themeFillTint="99"/>
            <w:vAlign w:val="center"/>
          </w:tcPr>
          <w:p w14:paraId="5492FE31" w14:textId="77777777" w:rsidR="00C34918" w:rsidRPr="002E3766" w:rsidRDefault="00C34918" w:rsidP="00C34918">
            <w:pPr>
              <w:spacing w:line="240" w:lineRule="auto"/>
              <w:rPr>
                <w:color w:val="000000" w:themeColor="text1"/>
                <w:sz w:val="28"/>
              </w:rPr>
            </w:pPr>
            <w:r w:rsidRPr="002E3766">
              <w:rPr>
                <w:color w:val="000000" w:themeColor="text1"/>
                <w:sz w:val="28"/>
              </w:rPr>
              <w:t>Business Owner or Property Owner</w:t>
            </w:r>
            <w:r w:rsidR="003B7C1A" w:rsidRPr="002E3766">
              <w:rPr>
                <w:color w:val="000000" w:themeColor="text1"/>
                <w:sz w:val="28"/>
              </w:rPr>
              <w:t xml:space="preserve">; </w:t>
            </w:r>
            <w:r w:rsidRPr="002E3766">
              <w:rPr>
                <w:color w:val="000000" w:themeColor="text1"/>
                <w:sz w:val="24"/>
              </w:rPr>
              <w:t xml:space="preserve">property owner must </w:t>
            </w:r>
            <w:r w:rsidR="005B2776" w:rsidRPr="002E3766">
              <w:rPr>
                <w:color w:val="000000" w:themeColor="text1"/>
                <w:sz w:val="24"/>
              </w:rPr>
              <w:t xml:space="preserve">submit letter of </w:t>
            </w:r>
            <w:r w:rsidRPr="002E3766">
              <w:rPr>
                <w:color w:val="000000" w:themeColor="text1"/>
                <w:sz w:val="24"/>
              </w:rPr>
              <w:t>approval</w:t>
            </w:r>
            <w:r w:rsidR="00943B71" w:rsidRPr="002E3766">
              <w:rPr>
                <w:color w:val="000000" w:themeColor="text1"/>
                <w:sz w:val="24"/>
              </w:rPr>
              <w:t xml:space="preserve"> for business owner application</w:t>
            </w:r>
            <w:r w:rsidRPr="002E3766">
              <w:rPr>
                <w:color w:val="000000" w:themeColor="text1"/>
                <w:sz w:val="24"/>
              </w:rPr>
              <w:t>.</w:t>
            </w:r>
          </w:p>
          <w:p w14:paraId="262E76E4" w14:textId="77777777" w:rsidR="00C34918" w:rsidRPr="002E3766" w:rsidRDefault="00C34918" w:rsidP="00362275">
            <w:pPr>
              <w:spacing w:line="240" w:lineRule="auto"/>
              <w:rPr>
                <w:color w:val="000000" w:themeColor="text1"/>
                <w:sz w:val="28"/>
              </w:rPr>
            </w:pPr>
          </w:p>
        </w:tc>
      </w:tr>
      <w:tr w:rsidR="002E3766" w:rsidRPr="002E3766" w14:paraId="30F675B8" w14:textId="77777777" w:rsidTr="00B46D8D">
        <w:tc>
          <w:tcPr>
            <w:tcW w:w="1743" w:type="dxa"/>
            <w:vAlign w:val="center"/>
          </w:tcPr>
          <w:p w14:paraId="47406DBC" w14:textId="77777777" w:rsidR="00C34918" w:rsidRPr="002E3766" w:rsidRDefault="00C34918" w:rsidP="00C16773">
            <w:pPr>
              <w:spacing w:line="240" w:lineRule="auto"/>
              <w:jc w:val="right"/>
              <w:rPr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 xml:space="preserve">What Qualifies:  </w:t>
            </w:r>
          </w:p>
        </w:tc>
        <w:tc>
          <w:tcPr>
            <w:tcW w:w="9047" w:type="dxa"/>
            <w:vAlign w:val="center"/>
          </w:tcPr>
          <w:p w14:paraId="0DBE8FC7" w14:textId="77777777" w:rsidR="005B2776" w:rsidRPr="002E3766" w:rsidRDefault="00C34918" w:rsidP="00362275">
            <w:pPr>
              <w:spacing w:line="240" w:lineRule="auto"/>
              <w:rPr>
                <w:color w:val="000000" w:themeColor="text1"/>
                <w:sz w:val="28"/>
              </w:rPr>
            </w:pPr>
            <w:r w:rsidRPr="002E3766">
              <w:rPr>
                <w:color w:val="000000" w:themeColor="text1"/>
                <w:sz w:val="28"/>
              </w:rPr>
              <w:t xml:space="preserve">Restoration/Rehabilitation of </w:t>
            </w:r>
            <w:r w:rsidR="00943B71" w:rsidRPr="002E3766">
              <w:rPr>
                <w:color w:val="000000" w:themeColor="text1"/>
                <w:sz w:val="28"/>
              </w:rPr>
              <w:t>Facades/</w:t>
            </w:r>
            <w:r w:rsidRPr="002E3766">
              <w:rPr>
                <w:color w:val="000000" w:themeColor="text1"/>
                <w:sz w:val="28"/>
              </w:rPr>
              <w:t>Exterior Walls; including design assistance, awnings, supplies</w:t>
            </w:r>
            <w:r w:rsidR="00C16773" w:rsidRPr="002E3766">
              <w:rPr>
                <w:color w:val="000000" w:themeColor="text1"/>
                <w:sz w:val="28"/>
              </w:rPr>
              <w:t xml:space="preserve">, and contracted third-party labor.  </w:t>
            </w:r>
          </w:p>
          <w:p w14:paraId="629E8DE6" w14:textId="77777777" w:rsidR="00C16773" w:rsidRPr="002E3766" w:rsidRDefault="00C16773" w:rsidP="00362275">
            <w:pPr>
              <w:spacing w:line="240" w:lineRule="auto"/>
              <w:rPr>
                <w:color w:val="000000" w:themeColor="text1"/>
                <w:sz w:val="28"/>
              </w:rPr>
            </w:pPr>
          </w:p>
          <w:p w14:paraId="77B68AC4" w14:textId="77777777" w:rsidR="00C34918" w:rsidRPr="002E3766" w:rsidRDefault="005B2776" w:rsidP="00362275">
            <w:pPr>
              <w:spacing w:line="240" w:lineRule="auto"/>
              <w:rPr>
                <w:color w:val="000000" w:themeColor="text1"/>
                <w:sz w:val="28"/>
              </w:rPr>
            </w:pPr>
            <w:r w:rsidRPr="002E3766">
              <w:rPr>
                <w:color w:val="000000" w:themeColor="text1"/>
                <w:sz w:val="24"/>
              </w:rPr>
              <w:t>Project alignment with the principles and best practices of the</w:t>
            </w:r>
            <w:r w:rsidR="00943B71" w:rsidRPr="002E3766">
              <w:rPr>
                <w:color w:val="000000" w:themeColor="text1"/>
                <w:sz w:val="24"/>
              </w:rPr>
              <w:t xml:space="preserve"> Iowa Economic Development Downtown</w:t>
            </w:r>
            <w:r w:rsidRPr="002E3766">
              <w:rPr>
                <w:color w:val="000000" w:themeColor="text1"/>
                <w:sz w:val="24"/>
              </w:rPr>
              <w:t xml:space="preserve"> design guide will be highly considered as part of the selection criteria.  Copies of the design guide can be found here:    </w:t>
            </w:r>
            <w:hyperlink r:id="rId9" w:history="1">
              <w:r w:rsidR="00B57FF9" w:rsidRPr="002E3766">
                <w:rPr>
                  <w:rStyle w:val="Hyperlink"/>
                  <w:color w:val="000000" w:themeColor="text1"/>
                  <w:sz w:val="24"/>
                </w:rPr>
                <w:t>https://www.iowaeda.com/UserDocs/downtowndesignguide.pdf</w:t>
              </w:r>
            </w:hyperlink>
          </w:p>
        </w:tc>
      </w:tr>
      <w:tr w:rsidR="002E3766" w:rsidRPr="002E3766" w14:paraId="61F39EFC" w14:textId="77777777" w:rsidTr="002E3766">
        <w:tc>
          <w:tcPr>
            <w:tcW w:w="1743" w:type="dxa"/>
            <w:shd w:val="clear" w:color="auto" w:fill="A8D08D" w:themeFill="accent6" w:themeFillTint="99"/>
            <w:vAlign w:val="center"/>
          </w:tcPr>
          <w:p w14:paraId="7A0ED8B3" w14:textId="77777777" w:rsidR="00C34918" w:rsidRPr="002E3766" w:rsidRDefault="00C34918" w:rsidP="00C16773">
            <w:pPr>
              <w:spacing w:line="240" w:lineRule="auto"/>
              <w:jc w:val="right"/>
              <w:rPr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 xml:space="preserve">Grant Amount:  </w:t>
            </w:r>
          </w:p>
        </w:tc>
        <w:tc>
          <w:tcPr>
            <w:tcW w:w="9047" w:type="dxa"/>
            <w:shd w:val="clear" w:color="auto" w:fill="A8D08D" w:themeFill="accent6" w:themeFillTint="99"/>
            <w:vAlign w:val="center"/>
          </w:tcPr>
          <w:p w14:paraId="64E37D82" w14:textId="77777777" w:rsidR="00521571" w:rsidRPr="002E3766" w:rsidRDefault="00521571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8"/>
              </w:rPr>
            </w:pPr>
          </w:p>
          <w:p w14:paraId="40429DB7" w14:textId="303A7D60" w:rsidR="00521571" w:rsidRPr="002E3766" w:rsidRDefault="002E3766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Funds</w:t>
            </w:r>
            <w:r w:rsidR="00521571" w:rsidRPr="002E3766">
              <w:rPr>
                <w:color w:val="000000" w:themeColor="text1"/>
                <w:sz w:val="28"/>
              </w:rPr>
              <w:t xml:space="preserve"> Allocated </w:t>
            </w:r>
            <w:r w:rsidR="00C0634D">
              <w:rPr>
                <w:color w:val="000000" w:themeColor="text1"/>
                <w:sz w:val="28"/>
              </w:rPr>
              <w:t>by December 31</w:t>
            </w:r>
            <w:r w:rsidR="00C0634D" w:rsidRPr="00C0634D">
              <w:rPr>
                <w:color w:val="000000" w:themeColor="text1"/>
                <w:sz w:val="28"/>
                <w:vertAlign w:val="superscript"/>
              </w:rPr>
              <w:t>st</w:t>
            </w:r>
            <w:r w:rsidR="009035BD">
              <w:rPr>
                <w:color w:val="000000" w:themeColor="text1"/>
                <w:sz w:val="28"/>
              </w:rPr>
              <w:t xml:space="preserve"> 2026</w:t>
            </w:r>
            <w:r w:rsidR="00C0634D">
              <w:rPr>
                <w:color w:val="000000" w:themeColor="text1"/>
                <w:sz w:val="28"/>
              </w:rPr>
              <w:t>.</w:t>
            </w:r>
          </w:p>
          <w:p w14:paraId="3A65B6AA" w14:textId="77777777" w:rsidR="00521571" w:rsidRPr="002E3766" w:rsidRDefault="00521571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4"/>
              </w:rPr>
            </w:pPr>
          </w:p>
          <w:p w14:paraId="269C4876" w14:textId="3E66A80A" w:rsidR="00C34918" w:rsidRPr="002E3766" w:rsidRDefault="00DE7B49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 xml:space="preserve">ICCD will </w:t>
            </w:r>
            <w:r w:rsidR="002E3766">
              <w:rPr>
                <w:color w:val="000000" w:themeColor="text1"/>
                <w:sz w:val="24"/>
              </w:rPr>
              <w:t xml:space="preserve">award </w:t>
            </w:r>
            <w:r w:rsidRPr="002E3766">
              <w:rPr>
                <w:color w:val="000000" w:themeColor="text1"/>
                <w:sz w:val="24"/>
              </w:rPr>
              <w:t>no more than $5,000 per project</w:t>
            </w:r>
            <w:r w:rsidR="00D206A2" w:rsidRPr="002E3766">
              <w:rPr>
                <w:color w:val="000000" w:themeColor="text1"/>
                <w:sz w:val="24"/>
              </w:rPr>
              <w:t>.</w:t>
            </w:r>
            <w:r w:rsidRPr="002E3766">
              <w:rPr>
                <w:color w:val="000000" w:themeColor="text1"/>
                <w:sz w:val="24"/>
              </w:rPr>
              <w:t xml:space="preserve"> A 1:1 Match is required (For example, if applying for $3,000 grant, no less than $3,000 must be matched in cash by applicant; in-kind does not count towards cash match).</w:t>
            </w:r>
          </w:p>
          <w:p w14:paraId="54948D0A" w14:textId="77777777" w:rsidR="00C34918" w:rsidRPr="002E3766" w:rsidRDefault="00C34918" w:rsidP="00362275">
            <w:pPr>
              <w:spacing w:line="240" w:lineRule="auto"/>
              <w:rPr>
                <w:color w:val="000000" w:themeColor="text1"/>
                <w:sz w:val="28"/>
              </w:rPr>
            </w:pPr>
          </w:p>
        </w:tc>
      </w:tr>
      <w:tr w:rsidR="002E3766" w:rsidRPr="002E3766" w14:paraId="16E0F1D4" w14:textId="77777777" w:rsidTr="00B46D8D">
        <w:tc>
          <w:tcPr>
            <w:tcW w:w="1743" w:type="dxa"/>
            <w:vAlign w:val="center"/>
          </w:tcPr>
          <w:p w14:paraId="5A270808" w14:textId="77777777" w:rsidR="00C16773" w:rsidRPr="002E3766" w:rsidRDefault="00C16773" w:rsidP="00C16773">
            <w:pPr>
              <w:spacing w:line="240" w:lineRule="auto"/>
              <w:jc w:val="right"/>
              <w:rPr>
                <w:b/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>How Often Can I Apply?</w:t>
            </w:r>
          </w:p>
        </w:tc>
        <w:tc>
          <w:tcPr>
            <w:tcW w:w="9047" w:type="dxa"/>
            <w:vAlign w:val="center"/>
          </w:tcPr>
          <w:p w14:paraId="266BF69F" w14:textId="0E63C43E" w:rsidR="00C16773" w:rsidRPr="002E3766" w:rsidRDefault="00C0634D" w:rsidP="00C0634D">
            <w:pPr>
              <w:spacing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Once per</w:t>
            </w:r>
            <w:r w:rsidR="00C16773" w:rsidRPr="002E3766">
              <w:rPr>
                <w:color w:val="000000" w:themeColor="text1"/>
                <w:sz w:val="28"/>
              </w:rPr>
              <w:t xml:space="preserve"> year. </w:t>
            </w:r>
          </w:p>
        </w:tc>
      </w:tr>
      <w:tr w:rsidR="002E3766" w:rsidRPr="002E3766" w14:paraId="66F0C1BC" w14:textId="77777777" w:rsidTr="002E3766">
        <w:tc>
          <w:tcPr>
            <w:tcW w:w="1743" w:type="dxa"/>
            <w:shd w:val="clear" w:color="auto" w:fill="A8D08D" w:themeFill="accent6" w:themeFillTint="99"/>
            <w:vAlign w:val="center"/>
          </w:tcPr>
          <w:p w14:paraId="4EAA111B" w14:textId="77777777" w:rsidR="00C34918" w:rsidRPr="002E3766" w:rsidRDefault="00C306E9" w:rsidP="00C16773">
            <w:pPr>
              <w:spacing w:line="240" w:lineRule="auto"/>
              <w:jc w:val="right"/>
              <w:rPr>
                <w:b/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>Ineligible Improvements:</w:t>
            </w:r>
          </w:p>
        </w:tc>
        <w:tc>
          <w:tcPr>
            <w:tcW w:w="9047" w:type="dxa"/>
            <w:shd w:val="clear" w:color="auto" w:fill="A8D08D" w:themeFill="accent6" w:themeFillTint="99"/>
            <w:vAlign w:val="center"/>
          </w:tcPr>
          <w:p w14:paraId="6D5F1066" w14:textId="77777777" w:rsidR="00F86375" w:rsidRPr="002E3766" w:rsidRDefault="00F86375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>Real Estate or business acquisition costs.</w:t>
            </w:r>
          </w:p>
          <w:p w14:paraId="7304FFDA" w14:textId="77777777" w:rsidR="00F86375" w:rsidRPr="002E3766" w:rsidRDefault="00F86375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 xml:space="preserve">Interior remodeling, including the purchase of furnishing, </w:t>
            </w:r>
            <w:r w:rsidR="00B30950" w:rsidRPr="002E3766">
              <w:rPr>
                <w:color w:val="000000" w:themeColor="text1"/>
                <w:sz w:val="24"/>
              </w:rPr>
              <w:t>e</w:t>
            </w:r>
            <w:r w:rsidRPr="002E3766">
              <w:rPr>
                <w:color w:val="000000" w:themeColor="text1"/>
                <w:sz w:val="24"/>
              </w:rPr>
              <w:t xml:space="preserve">quipment or other personal property that does not </w:t>
            </w:r>
            <w:r w:rsidR="00B30950" w:rsidRPr="002E3766">
              <w:rPr>
                <w:color w:val="000000" w:themeColor="text1"/>
                <w:sz w:val="24"/>
              </w:rPr>
              <w:t>b</w:t>
            </w:r>
            <w:r w:rsidRPr="002E3766">
              <w:rPr>
                <w:color w:val="000000" w:themeColor="text1"/>
                <w:sz w:val="24"/>
              </w:rPr>
              <w:t>ecome part of the building.</w:t>
            </w:r>
          </w:p>
          <w:p w14:paraId="21D8567E" w14:textId="77777777" w:rsidR="00F86375" w:rsidRPr="002E3766" w:rsidRDefault="00F86375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>Landscaping and site improvements</w:t>
            </w:r>
            <w:r w:rsidR="00B30950" w:rsidRPr="002E3766">
              <w:rPr>
                <w:color w:val="000000" w:themeColor="text1"/>
                <w:sz w:val="24"/>
              </w:rPr>
              <w:t>.</w:t>
            </w:r>
          </w:p>
          <w:p w14:paraId="037AE2D7" w14:textId="77777777" w:rsidR="00F86375" w:rsidRPr="002E3766" w:rsidRDefault="00F86375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>Modification or removal o</w:t>
            </w:r>
            <w:r w:rsidR="00F75820" w:rsidRPr="002E3766">
              <w:rPr>
                <w:color w:val="000000" w:themeColor="text1"/>
                <w:sz w:val="24"/>
              </w:rPr>
              <w:t>f</w:t>
            </w:r>
            <w:r w:rsidRPr="002E3766">
              <w:rPr>
                <w:color w:val="000000" w:themeColor="text1"/>
                <w:sz w:val="24"/>
              </w:rPr>
              <w:t xml:space="preserve"> architectural and historical features.</w:t>
            </w:r>
          </w:p>
          <w:p w14:paraId="1C5CF506" w14:textId="77777777" w:rsidR="00F86375" w:rsidRPr="002E3766" w:rsidRDefault="00F86375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>Roof improvements.</w:t>
            </w:r>
          </w:p>
          <w:p w14:paraId="3530B362" w14:textId="77777777" w:rsidR="00EB6826" w:rsidRPr="002E3766" w:rsidRDefault="00F86375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>Work commen</w:t>
            </w:r>
            <w:r w:rsidR="000815D0" w:rsidRPr="002E3766">
              <w:rPr>
                <w:color w:val="000000" w:themeColor="text1"/>
                <w:sz w:val="24"/>
              </w:rPr>
              <w:t>c</w:t>
            </w:r>
            <w:r w:rsidRPr="002E3766">
              <w:rPr>
                <w:color w:val="000000" w:themeColor="text1"/>
                <w:sz w:val="24"/>
              </w:rPr>
              <w:t>ed prior to the application</w:t>
            </w:r>
            <w:r w:rsidR="00EB6826" w:rsidRPr="002E3766">
              <w:rPr>
                <w:color w:val="000000" w:themeColor="text1"/>
                <w:sz w:val="24"/>
              </w:rPr>
              <w:t xml:space="preserve"> approval</w:t>
            </w:r>
            <w:r w:rsidRPr="002E3766">
              <w:rPr>
                <w:color w:val="000000" w:themeColor="text1"/>
                <w:sz w:val="24"/>
              </w:rPr>
              <w:t xml:space="preserve"> (unless it was of an emergency nature)</w:t>
            </w:r>
            <w:r w:rsidR="003652D8" w:rsidRPr="002E3766">
              <w:rPr>
                <w:color w:val="000000" w:themeColor="text1"/>
                <w:sz w:val="24"/>
              </w:rPr>
              <w:t>.</w:t>
            </w:r>
            <w:r w:rsidRPr="002E3766">
              <w:rPr>
                <w:color w:val="000000" w:themeColor="text1"/>
                <w:sz w:val="24"/>
              </w:rPr>
              <w:t xml:space="preserve"> </w:t>
            </w:r>
          </w:p>
          <w:p w14:paraId="285E8607" w14:textId="77777777" w:rsidR="00430EF9" w:rsidRPr="002E3766" w:rsidRDefault="00430EF9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 xml:space="preserve">Working capital or inventory. </w:t>
            </w:r>
          </w:p>
          <w:p w14:paraId="4D4882B3" w14:textId="77777777" w:rsidR="00430EF9" w:rsidRPr="002E3766" w:rsidRDefault="00430EF9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 xml:space="preserve">Water/sewer service lines connection to city services. </w:t>
            </w:r>
          </w:p>
          <w:p w14:paraId="71CAE3CB" w14:textId="77777777" w:rsidR="00C306E9" w:rsidRPr="002E3766" w:rsidRDefault="00C306E9" w:rsidP="00430E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 xml:space="preserve">Labor costs only reimbursed for qualified </w:t>
            </w:r>
            <w:r w:rsidR="00EB6826" w:rsidRPr="002E3766">
              <w:rPr>
                <w:color w:val="000000" w:themeColor="text1"/>
                <w:sz w:val="24"/>
              </w:rPr>
              <w:t>third-party</w:t>
            </w:r>
            <w:r w:rsidRPr="002E3766">
              <w:rPr>
                <w:color w:val="000000" w:themeColor="text1"/>
                <w:sz w:val="24"/>
              </w:rPr>
              <w:t xml:space="preserve"> contractors, not business or property owners.  </w:t>
            </w:r>
          </w:p>
          <w:p w14:paraId="0F91C9A0" w14:textId="77777777" w:rsidR="00C34918" w:rsidRPr="002E3766" w:rsidRDefault="00C34918" w:rsidP="00362275">
            <w:pPr>
              <w:spacing w:line="240" w:lineRule="auto"/>
              <w:rPr>
                <w:color w:val="000000" w:themeColor="text1"/>
                <w:sz w:val="28"/>
              </w:rPr>
            </w:pPr>
          </w:p>
        </w:tc>
      </w:tr>
    </w:tbl>
    <w:p w14:paraId="3D45357E" w14:textId="77777777" w:rsidR="00C34918" w:rsidRPr="002E3766" w:rsidRDefault="00C34918" w:rsidP="00362275">
      <w:pPr>
        <w:spacing w:after="0" w:line="240" w:lineRule="auto"/>
        <w:rPr>
          <w:color w:val="000000" w:themeColor="text1"/>
          <w:sz w:val="28"/>
        </w:rPr>
      </w:pPr>
    </w:p>
    <w:p w14:paraId="232207B4" w14:textId="77777777" w:rsidR="008F7447" w:rsidRPr="002E3766" w:rsidRDefault="008F7447" w:rsidP="00362275">
      <w:pPr>
        <w:spacing w:after="0" w:line="240" w:lineRule="auto"/>
        <w:rPr>
          <w:color w:val="000000" w:themeColor="text1"/>
          <w:sz w:val="28"/>
        </w:rPr>
      </w:pPr>
    </w:p>
    <w:p w14:paraId="6B8E5190" w14:textId="77777777" w:rsidR="009578E4" w:rsidRPr="002E3766" w:rsidRDefault="009578E4" w:rsidP="00362275">
      <w:pPr>
        <w:spacing w:after="0" w:line="240" w:lineRule="auto"/>
        <w:rPr>
          <w:color w:val="000000" w:themeColor="text1"/>
          <w:sz w:val="28"/>
        </w:rPr>
      </w:pPr>
    </w:p>
    <w:p w14:paraId="4DDC04F6" w14:textId="77777777" w:rsidR="008F7447" w:rsidRPr="002E3766" w:rsidRDefault="008F7447" w:rsidP="00362275">
      <w:pPr>
        <w:spacing w:after="0" w:line="240" w:lineRule="auto"/>
        <w:rPr>
          <w:color w:val="000000" w:themeColor="text1"/>
          <w:sz w:val="28"/>
        </w:rPr>
      </w:pPr>
    </w:p>
    <w:p w14:paraId="0CB730C1" w14:textId="77777777" w:rsidR="008F7447" w:rsidRPr="002E3766" w:rsidRDefault="008F7447" w:rsidP="008F7447">
      <w:pPr>
        <w:spacing w:after="0" w:line="240" w:lineRule="auto"/>
        <w:rPr>
          <w:b/>
          <w:color w:val="000000" w:themeColor="text1"/>
          <w:sz w:val="24"/>
        </w:rPr>
      </w:pPr>
      <w:r w:rsidRPr="002E3766">
        <w:rPr>
          <w:i/>
          <w:color w:val="000000" w:themeColor="text1"/>
          <w:sz w:val="24"/>
        </w:rPr>
        <w:t>Grant Types continued</w:t>
      </w:r>
      <w:r w:rsidRPr="002E3766">
        <w:rPr>
          <w:b/>
          <w:color w:val="000000" w:themeColor="text1"/>
          <w:sz w:val="24"/>
        </w:rPr>
        <w:t>:</w:t>
      </w:r>
    </w:p>
    <w:p w14:paraId="6AD6185A" w14:textId="77777777" w:rsidR="008F7447" w:rsidRPr="002E3766" w:rsidRDefault="008F7447" w:rsidP="00362275">
      <w:pPr>
        <w:spacing w:after="0" w:line="240" w:lineRule="auto"/>
        <w:rPr>
          <w:color w:val="000000" w:themeColor="text1"/>
          <w:sz w:val="28"/>
        </w:rPr>
      </w:pPr>
    </w:p>
    <w:p w14:paraId="5E9E5E02" w14:textId="77777777" w:rsidR="00321CC7" w:rsidRPr="002E3766" w:rsidRDefault="00321CC7" w:rsidP="00362275">
      <w:pPr>
        <w:spacing w:after="0" w:line="240" w:lineRule="auto"/>
        <w:rPr>
          <w:color w:val="000000" w:themeColor="text1"/>
          <w:sz w:val="28"/>
        </w:rPr>
      </w:pPr>
    </w:p>
    <w:p w14:paraId="7C894F2F" w14:textId="77777777" w:rsidR="00AA08D6" w:rsidRPr="002E3766" w:rsidRDefault="00AA08D6" w:rsidP="00AA08D6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30"/>
          <w:szCs w:val="30"/>
        </w:rPr>
      </w:pPr>
      <w:r w:rsidRPr="002E3766">
        <w:rPr>
          <w:rFonts w:ascii="Arial Black" w:hAnsi="Arial Black"/>
          <w:b/>
          <w:color w:val="000000" w:themeColor="text1"/>
          <w:sz w:val="30"/>
          <w:szCs w:val="30"/>
        </w:rPr>
        <w:t>SIGNS</w:t>
      </w:r>
    </w:p>
    <w:tbl>
      <w:tblPr>
        <w:tblStyle w:val="TableGrid"/>
        <w:tblpPr w:leftFromText="180" w:rightFromText="180" w:vertAnchor="text" w:horzAnchor="margin" w:tblpY="78"/>
        <w:tblW w:w="0" w:type="auto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0535"/>
      </w:tblGrid>
      <w:tr w:rsidR="002E3766" w:rsidRPr="002E3766" w14:paraId="03F831F9" w14:textId="77777777" w:rsidTr="002E3766">
        <w:trPr>
          <w:trHeight w:hRule="exact" w:val="72"/>
        </w:trPr>
        <w:tc>
          <w:tcPr>
            <w:tcW w:w="10535" w:type="dxa"/>
            <w:shd w:val="clear" w:color="auto" w:fill="A8D08D" w:themeFill="accent6" w:themeFillTint="99"/>
          </w:tcPr>
          <w:p w14:paraId="3AAFC3D2" w14:textId="77777777" w:rsidR="00AA08D6" w:rsidRPr="002E3766" w:rsidRDefault="00AA08D6" w:rsidP="002C799A">
            <w:pPr>
              <w:spacing w:line="240" w:lineRule="auto"/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24"/>
                <w:szCs w:val="28"/>
              </w:rPr>
            </w:pPr>
          </w:p>
        </w:tc>
      </w:tr>
    </w:tbl>
    <w:p w14:paraId="63A1D966" w14:textId="77777777" w:rsidR="00AA08D6" w:rsidRPr="002E3766" w:rsidRDefault="00AA08D6" w:rsidP="00AA08D6">
      <w:pPr>
        <w:spacing w:after="0" w:line="240" w:lineRule="auto"/>
        <w:rPr>
          <w:color w:val="000000" w:themeColor="text1"/>
          <w:sz w:val="28"/>
        </w:rPr>
      </w:pPr>
    </w:p>
    <w:tbl>
      <w:tblPr>
        <w:tblStyle w:val="TableGrid"/>
        <w:tblW w:w="0" w:type="auto"/>
        <w:tblBorders>
          <w:top w:val="single" w:sz="12" w:space="0" w:color="C45911" w:themeColor="accent2" w:themeShade="BF"/>
          <w:left w:val="single" w:sz="12" w:space="0" w:color="C45911" w:themeColor="accent2" w:themeShade="BF"/>
          <w:bottom w:val="single" w:sz="12" w:space="0" w:color="C45911" w:themeColor="accent2" w:themeShade="BF"/>
          <w:right w:val="single" w:sz="12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9027"/>
      </w:tblGrid>
      <w:tr w:rsidR="002E3766" w:rsidRPr="002E3766" w14:paraId="7CDF1B83" w14:textId="77777777" w:rsidTr="002E3766">
        <w:tc>
          <w:tcPr>
            <w:tcW w:w="1743" w:type="dxa"/>
            <w:shd w:val="clear" w:color="auto" w:fill="A8D08D" w:themeFill="accent6" w:themeFillTint="99"/>
            <w:vAlign w:val="center"/>
          </w:tcPr>
          <w:p w14:paraId="531E03E2" w14:textId="77777777" w:rsidR="00AA08D6" w:rsidRPr="002E3766" w:rsidRDefault="00AA08D6" w:rsidP="002C799A">
            <w:pPr>
              <w:spacing w:line="240" w:lineRule="auto"/>
              <w:jc w:val="right"/>
              <w:rPr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 xml:space="preserve"> Who Qualifies:</w:t>
            </w:r>
          </w:p>
        </w:tc>
        <w:tc>
          <w:tcPr>
            <w:tcW w:w="9047" w:type="dxa"/>
            <w:shd w:val="clear" w:color="auto" w:fill="A8D08D" w:themeFill="accent6" w:themeFillTint="99"/>
            <w:vAlign w:val="center"/>
          </w:tcPr>
          <w:p w14:paraId="4187C92C" w14:textId="62C84BF6" w:rsidR="00AA08D6" w:rsidRPr="002E3766" w:rsidRDefault="00AA08D6" w:rsidP="00AA08D6">
            <w:pPr>
              <w:spacing w:line="240" w:lineRule="auto"/>
              <w:rPr>
                <w:color w:val="000000" w:themeColor="text1"/>
                <w:sz w:val="28"/>
              </w:rPr>
            </w:pPr>
            <w:r w:rsidRPr="002E3766">
              <w:rPr>
                <w:color w:val="000000" w:themeColor="text1"/>
                <w:sz w:val="28"/>
              </w:rPr>
              <w:t xml:space="preserve">Business Owner.  </w:t>
            </w:r>
            <w:r w:rsidRPr="002E3766">
              <w:rPr>
                <w:color w:val="000000" w:themeColor="text1"/>
                <w:sz w:val="24"/>
              </w:rPr>
              <w:t xml:space="preserve">Property owner must </w:t>
            </w:r>
            <w:r w:rsidR="00E67B62">
              <w:rPr>
                <w:color w:val="000000" w:themeColor="text1"/>
                <w:sz w:val="24"/>
              </w:rPr>
              <w:t>submit approval of application if space is leased by the business owner</w:t>
            </w:r>
            <w:r w:rsidRPr="002E3766">
              <w:rPr>
                <w:color w:val="000000" w:themeColor="text1"/>
                <w:sz w:val="24"/>
              </w:rPr>
              <w:t>.</w:t>
            </w:r>
          </w:p>
          <w:p w14:paraId="113D6F2F" w14:textId="77777777" w:rsidR="00AA08D6" w:rsidRPr="002E3766" w:rsidRDefault="00AA08D6" w:rsidP="002C799A">
            <w:pPr>
              <w:spacing w:line="240" w:lineRule="auto"/>
              <w:rPr>
                <w:color w:val="000000" w:themeColor="text1"/>
                <w:sz w:val="28"/>
              </w:rPr>
            </w:pPr>
          </w:p>
        </w:tc>
      </w:tr>
      <w:tr w:rsidR="002E3766" w:rsidRPr="002E3766" w14:paraId="561E4631" w14:textId="77777777" w:rsidTr="00B46D8D">
        <w:tc>
          <w:tcPr>
            <w:tcW w:w="1743" w:type="dxa"/>
            <w:vAlign w:val="center"/>
          </w:tcPr>
          <w:p w14:paraId="162F6EB2" w14:textId="77777777" w:rsidR="00AA08D6" w:rsidRPr="002E3766" w:rsidRDefault="00AA08D6" w:rsidP="002C799A">
            <w:pPr>
              <w:spacing w:line="240" w:lineRule="auto"/>
              <w:jc w:val="right"/>
              <w:rPr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 xml:space="preserve">What Qualifies:  </w:t>
            </w:r>
          </w:p>
        </w:tc>
        <w:tc>
          <w:tcPr>
            <w:tcW w:w="9047" w:type="dxa"/>
            <w:vAlign w:val="center"/>
          </w:tcPr>
          <w:p w14:paraId="34B6711D" w14:textId="64DB06E9" w:rsidR="00AA08D6" w:rsidRPr="002E3766" w:rsidRDefault="009035BD" w:rsidP="009035BD">
            <w:pPr>
              <w:spacing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Installation or improvement of business signage, exterior improvements (</w:t>
            </w:r>
            <w:r w:rsidR="00E67B62">
              <w:rPr>
                <w:color w:val="000000" w:themeColor="text1"/>
                <w:sz w:val="28"/>
              </w:rPr>
              <w:t xml:space="preserve">façade, window, lighting, paint, </w:t>
            </w:r>
            <w:proofErr w:type="spellStart"/>
            <w:r w:rsidR="00E67B62">
              <w:rPr>
                <w:color w:val="000000" w:themeColor="text1"/>
                <w:sz w:val="28"/>
              </w:rPr>
              <w:t>etc</w:t>
            </w:r>
            <w:proofErr w:type="spellEnd"/>
            <w:r w:rsidR="00E67B62">
              <w:rPr>
                <w:color w:val="000000" w:themeColor="text1"/>
                <w:sz w:val="28"/>
              </w:rPr>
              <w:t>…)</w:t>
            </w:r>
          </w:p>
        </w:tc>
      </w:tr>
      <w:tr w:rsidR="002E3766" w:rsidRPr="002E3766" w14:paraId="11B23AA8" w14:textId="77777777" w:rsidTr="002E3766">
        <w:tc>
          <w:tcPr>
            <w:tcW w:w="1743" w:type="dxa"/>
            <w:shd w:val="clear" w:color="auto" w:fill="A8D08D" w:themeFill="accent6" w:themeFillTint="99"/>
            <w:vAlign w:val="center"/>
          </w:tcPr>
          <w:p w14:paraId="6277ABC7" w14:textId="77777777" w:rsidR="00AA08D6" w:rsidRPr="002E3766" w:rsidRDefault="00AA08D6" w:rsidP="002C799A">
            <w:pPr>
              <w:spacing w:line="240" w:lineRule="auto"/>
              <w:jc w:val="right"/>
              <w:rPr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 xml:space="preserve">Grant Amount:  </w:t>
            </w:r>
          </w:p>
        </w:tc>
        <w:tc>
          <w:tcPr>
            <w:tcW w:w="9047" w:type="dxa"/>
            <w:shd w:val="clear" w:color="auto" w:fill="A8D08D" w:themeFill="accent6" w:themeFillTint="99"/>
            <w:vAlign w:val="center"/>
          </w:tcPr>
          <w:p w14:paraId="20513467" w14:textId="77777777" w:rsidR="004A4C34" w:rsidRPr="002E3766" w:rsidRDefault="004A4C34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8"/>
              </w:rPr>
            </w:pPr>
          </w:p>
          <w:p w14:paraId="436510A9" w14:textId="5F86DE56" w:rsidR="004A4C34" w:rsidRPr="002E3766" w:rsidRDefault="00C0634D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8"/>
              </w:rPr>
              <w:t xml:space="preserve">$5,000 Grant maximum per application. A 1:1 cash match is required. </w:t>
            </w:r>
          </w:p>
          <w:p w14:paraId="1B2D4890" w14:textId="77777777" w:rsidR="004A4C34" w:rsidRPr="002E3766" w:rsidRDefault="004A4C34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4"/>
              </w:rPr>
            </w:pPr>
          </w:p>
          <w:p w14:paraId="2405D34D" w14:textId="69E3586E" w:rsidR="00AA08D6" w:rsidRPr="002E3766" w:rsidRDefault="0089528D" w:rsidP="002E3766">
            <w:pPr>
              <w:shd w:val="clear" w:color="auto" w:fill="A8D08D" w:themeFill="accent6" w:themeFillTint="99"/>
              <w:spacing w:line="240" w:lineRule="auto"/>
              <w:rPr>
                <w:color w:val="000000" w:themeColor="text1"/>
                <w:sz w:val="24"/>
              </w:rPr>
            </w:pPr>
            <w:r w:rsidRPr="002E3766">
              <w:rPr>
                <w:color w:val="000000" w:themeColor="text1"/>
                <w:sz w:val="24"/>
              </w:rPr>
              <w:t xml:space="preserve">Applicant must provide 1:1 match. </w:t>
            </w:r>
            <w:r w:rsidR="00A213F4">
              <w:rPr>
                <w:color w:val="000000" w:themeColor="text1"/>
                <w:sz w:val="24"/>
              </w:rPr>
              <w:t>(If requesting $1,000, applicant must provide $1,000 cash match).</w:t>
            </w:r>
          </w:p>
          <w:p w14:paraId="0E87FAEE" w14:textId="77777777" w:rsidR="00AA08D6" w:rsidRPr="002E3766" w:rsidRDefault="00AA08D6" w:rsidP="002C799A">
            <w:pPr>
              <w:spacing w:line="240" w:lineRule="auto"/>
              <w:rPr>
                <w:color w:val="000000" w:themeColor="text1"/>
                <w:sz w:val="28"/>
              </w:rPr>
            </w:pPr>
          </w:p>
        </w:tc>
      </w:tr>
      <w:tr w:rsidR="002E3766" w:rsidRPr="002E3766" w14:paraId="7E8C7848" w14:textId="77777777" w:rsidTr="00B46D8D">
        <w:tc>
          <w:tcPr>
            <w:tcW w:w="1743" w:type="dxa"/>
            <w:vAlign w:val="center"/>
          </w:tcPr>
          <w:p w14:paraId="7D80E95D" w14:textId="77777777" w:rsidR="00AA08D6" w:rsidRPr="002E3766" w:rsidRDefault="00AA08D6" w:rsidP="002C799A">
            <w:pPr>
              <w:spacing w:line="240" w:lineRule="auto"/>
              <w:jc w:val="right"/>
              <w:rPr>
                <w:b/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>How Often Can I Apply?</w:t>
            </w:r>
          </w:p>
        </w:tc>
        <w:tc>
          <w:tcPr>
            <w:tcW w:w="9047" w:type="dxa"/>
            <w:vAlign w:val="center"/>
          </w:tcPr>
          <w:p w14:paraId="558586AD" w14:textId="75ACA354" w:rsidR="00AA08D6" w:rsidRPr="002E3766" w:rsidRDefault="00AA08D6" w:rsidP="002C799A">
            <w:pPr>
              <w:spacing w:line="240" w:lineRule="auto"/>
              <w:rPr>
                <w:color w:val="000000" w:themeColor="text1"/>
                <w:sz w:val="28"/>
              </w:rPr>
            </w:pPr>
            <w:r w:rsidRPr="002E3766">
              <w:rPr>
                <w:color w:val="000000" w:themeColor="text1"/>
                <w:sz w:val="28"/>
              </w:rPr>
              <w:t xml:space="preserve">Once </w:t>
            </w:r>
            <w:r w:rsidR="009C3EE6" w:rsidRPr="002E3766">
              <w:rPr>
                <w:color w:val="000000" w:themeColor="text1"/>
                <w:sz w:val="28"/>
              </w:rPr>
              <w:t>per</w:t>
            </w:r>
            <w:r w:rsidR="00C0634D">
              <w:rPr>
                <w:color w:val="000000" w:themeColor="text1"/>
                <w:sz w:val="28"/>
              </w:rPr>
              <w:t xml:space="preserve"> year, per</w:t>
            </w:r>
            <w:r w:rsidR="0092565A" w:rsidRPr="002E3766">
              <w:rPr>
                <w:color w:val="000000" w:themeColor="text1"/>
                <w:sz w:val="28"/>
              </w:rPr>
              <w:t xml:space="preserve"> </w:t>
            </w:r>
            <w:r w:rsidR="00A213F4">
              <w:rPr>
                <w:color w:val="000000" w:themeColor="text1"/>
                <w:sz w:val="28"/>
              </w:rPr>
              <w:t>b</w:t>
            </w:r>
            <w:r w:rsidR="009C3EE6" w:rsidRPr="002E3766">
              <w:rPr>
                <w:color w:val="000000" w:themeColor="text1"/>
                <w:sz w:val="28"/>
              </w:rPr>
              <w:t>usiness.</w:t>
            </w:r>
            <w:r w:rsidRPr="002E3766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2E3766" w:rsidRPr="002E3766" w14:paraId="7CAA77BF" w14:textId="77777777" w:rsidTr="002E3766">
        <w:tc>
          <w:tcPr>
            <w:tcW w:w="1743" w:type="dxa"/>
            <w:shd w:val="clear" w:color="auto" w:fill="A8D08D" w:themeFill="accent6" w:themeFillTint="99"/>
            <w:vAlign w:val="center"/>
          </w:tcPr>
          <w:p w14:paraId="6DEF4F66" w14:textId="77777777" w:rsidR="00AA08D6" w:rsidRPr="002E3766" w:rsidRDefault="00AA08D6" w:rsidP="002C799A">
            <w:pPr>
              <w:spacing w:line="240" w:lineRule="auto"/>
              <w:jc w:val="right"/>
              <w:rPr>
                <w:b/>
                <w:color w:val="000000" w:themeColor="text1"/>
                <w:sz w:val="24"/>
              </w:rPr>
            </w:pPr>
            <w:r w:rsidRPr="002E3766">
              <w:rPr>
                <w:b/>
                <w:color w:val="000000" w:themeColor="text1"/>
                <w:sz w:val="24"/>
              </w:rPr>
              <w:t>Ineligible Improvements:</w:t>
            </w:r>
          </w:p>
        </w:tc>
        <w:tc>
          <w:tcPr>
            <w:tcW w:w="9047" w:type="dxa"/>
            <w:shd w:val="clear" w:color="auto" w:fill="A8D08D" w:themeFill="accent6" w:themeFillTint="99"/>
            <w:vAlign w:val="center"/>
          </w:tcPr>
          <w:p w14:paraId="10C5F5F7" w14:textId="2790A75A" w:rsidR="00AA08D6" w:rsidRPr="002E3766" w:rsidRDefault="00E67B62" w:rsidP="009C3EE6">
            <w:pPr>
              <w:spacing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Interior improvements. </w:t>
            </w:r>
          </w:p>
          <w:p w14:paraId="1579CC97" w14:textId="77777777" w:rsidR="00AA08D6" w:rsidRPr="002E3766" w:rsidRDefault="00AA08D6" w:rsidP="002C799A">
            <w:pPr>
              <w:spacing w:line="240" w:lineRule="auto"/>
              <w:rPr>
                <w:color w:val="000000" w:themeColor="text1"/>
                <w:sz w:val="28"/>
              </w:rPr>
            </w:pPr>
          </w:p>
        </w:tc>
      </w:tr>
    </w:tbl>
    <w:p w14:paraId="32C0D1C0" w14:textId="77777777" w:rsidR="00AA08D6" w:rsidRPr="002E3766" w:rsidRDefault="00AA08D6" w:rsidP="00AA08D6">
      <w:pPr>
        <w:spacing w:after="0" w:line="240" w:lineRule="auto"/>
        <w:rPr>
          <w:color w:val="000000" w:themeColor="text1"/>
          <w:sz w:val="28"/>
        </w:rPr>
      </w:pPr>
    </w:p>
    <w:p w14:paraId="2A3B73DD" w14:textId="77777777" w:rsidR="00321CC7" w:rsidRPr="002E3766" w:rsidRDefault="00321CC7" w:rsidP="00362275">
      <w:pPr>
        <w:spacing w:after="0" w:line="240" w:lineRule="auto"/>
        <w:rPr>
          <w:color w:val="000000" w:themeColor="text1"/>
          <w:sz w:val="28"/>
        </w:rPr>
      </w:pPr>
    </w:p>
    <w:tbl>
      <w:tblPr>
        <w:tblStyle w:val="TableGrid"/>
        <w:tblpPr w:leftFromText="180" w:rightFromText="180" w:vertAnchor="text" w:horzAnchor="margin" w:tblpY="78"/>
        <w:tblW w:w="0" w:type="auto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0535"/>
      </w:tblGrid>
      <w:tr w:rsidR="002E3766" w:rsidRPr="002E3766" w14:paraId="2645EA84" w14:textId="77777777" w:rsidTr="002E3766">
        <w:trPr>
          <w:trHeight w:hRule="exact" w:val="72"/>
        </w:trPr>
        <w:tc>
          <w:tcPr>
            <w:tcW w:w="10535" w:type="dxa"/>
            <w:shd w:val="clear" w:color="auto" w:fill="A8D08D" w:themeFill="accent6" w:themeFillTint="99"/>
          </w:tcPr>
          <w:p w14:paraId="45D8B934" w14:textId="77777777" w:rsidR="005574B7" w:rsidRPr="002E3766" w:rsidRDefault="005574B7" w:rsidP="002C799A">
            <w:pPr>
              <w:spacing w:line="240" w:lineRule="auto"/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24"/>
                <w:szCs w:val="28"/>
              </w:rPr>
            </w:pPr>
          </w:p>
        </w:tc>
      </w:tr>
    </w:tbl>
    <w:p w14:paraId="63428FA2" w14:textId="77777777" w:rsidR="00321CC7" w:rsidRPr="002E3766" w:rsidRDefault="00321CC7" w:rsidP="00362275">
      <w:pPr>
        <w:spacing w:after="0" w:line="240" w:lineRule="auto"/>
        <w:rPr>
          <w:color w:val="000000" w:themeColor="text1"/>
          <w:sz w:val="28"/>
        </w:rPr>
      </w:pPr>
    </w:p>
    <w:p w14:paraId="0B8D3736" w14:textId="77777777" w:rsidR="00321CC7" w:rsidRPr="002E3766" w:rsidRDefault="00321CC7" w:rsidP="00362275">
      <w:pPr>
        <w:spacing w:after="0" w:line="240" w:lineRule="auto"/>
        <w:rPr>
          <w:color w:val="000000" w:themeColor="text1"/>
          <w:sz w:val="28"/>
        </w:rPr>
      </w:pPr>
    </w:p>
    <w:p w14:paraId="438BC1AC" w14:textId="77777777" w:rsidR="00321CC7" w:rsidRPr="002E3766" w:rsidRDefault="00321CC7" w:rsidP="00362275">
      <w:pPr>
        <w:spacing w:after="0" w:line="240" w:lineRule="auto"/>
        <w:rPr>
          <w:color w:val="000000" w:themeColor="text1"/>
          <w:sz w:val="28"/>
        </w:rPr>
      </w:pPr>
    </w:p>
    <w:p w14:paraId="6391C005" w14:textId="77777777" w:rsidR="00321CC7" w:rsidRPr="002E3766" w:rsidRDefault="00321CC7" w:rsidP="00362275">
      <w:pPr>
        <w:spacing w:after="0" w:line="240" w:lineRule="auto"/>
        <w:rPr>
          <w:color w:val="000000" w:themeColor="text1"/>
          <w:sz w:val="28"/>
        </w:rPr>
      </w:pPr>
    </w:p>
    <w:p w14:paraId="6980662B" w14:textId="4B9445B8" w:rsidR="00362275" w:rsidRPr="002E3766" w:rsidRDefault="0092565A" w:rsidP="00362275">
      <w:pPr>
        <w:spacing w:after="0" w:line="240" w:lineRule="auto"/>
        <w:rPr>
          <w:b/>
          <w:color w:val="000000" w:themeColor="text1"/>
          <w:sz w:val="28"/>
        </w:rPr>
      </w:pPr>
      <w:r w:rsidRPr="002E3766">
        <w:rPr>
          <w:color w:val="000000" w:themeColor="text1"/>
          <w:sz w:val="28"/>
        </w:rPr>
        <w:t xml:space="preserve">Questions regarding the above Business Incentive Grants can be directed to </w:t>
      </w:r>
      <w:r w:rsidR="009366F7" w:rsidRPr="002E3766">
        <w:rPr>
          <w:color w:val="000000" w:themeColor="text1"/>
          <w:sz w:val="28"/>
        </w:rPr>
        <w:t xml:space="preserve">Iowa County Development’s Community Director </w:t>
      </w:r>
      <w:r w:rsidRPr="002E3766">
        <w:rPr>
          <w:color w:val="000000" w:themeColor="text1"/>
          <w:sz w:val="28"/>
        </w:rPr>
        <w:t xml:space="preserve">at </w:t>
      </w:r>
      <w:r w:rsidR="009366F7" w:rsidRPr="002E3766">
        <w:rPr>
          <w:color w:val="000000" w:themeColor="text1"/>
          <w:sz w:val="28"/>
        </w:rPr>
        <w:t>231-742-1446</w:t>
      </w:r>
      <w:r w:rsidRPr="002E3766">
        <w:rPr>
          <w:color w:val="000000" w:themeColor="text1"/>
          <w:sz w:val="28"/>
        </w:rPr>
        <w:t xml:space="preserve"> or email at </w:t>
      </w:r>
      <w:r w:rsidR="009366F7" w:rsidRPr="002E3766">
        <w:rPr>
          <w:color w:val="000000" w:themeColor="text1"/>
          <w:sz w:val="28"/>
        </w:rPr>
        <w:t>Laura@</w:t>
      </w:r>
      <w:r w:rsidR="00C0634D">
        <w:rPr>
          <w:color w:val="000000" w:themeColor="text1"/>
          <w:sz w:val="28"/>
        </w:rPr>
        <w:t>iowacountydevelopment.com</w:t>
      </w:r>
      <w:r w:rsidRPr="002E3766">
        <w:rPr>
          <w:b/>
          <w:color w:val="000000" w:themeColor="text1"/>
          <w:sz w:val="28"/>
        </w:rPr>
        <w:t xml:space="preserve"> </w:t>
      </w:r>
    </w:p>
    <w:p w14:paraId="7DDC5E1A" w14:textId="77777777" w:rsidR="000F7D43" w:rsidRPr="000F7D43" w:rsidRDefault="000F7D43" w:rsidP="000F7D43">
      <w:pPr>
        <w:spacing w:line="240" w:lineRule="auto"/>
        <w:rPr>
          <w:rFonts w:eastAsia="Times New Roman" w:cstheme="minorHAnsi"/>
          <w:bCs/>
          <w:iCs/>
          <w:color w:val="2F5496" w:themeColor="accent1" w:themeShade="BF"/>
          <w:sz w:val="28"/>
          <w:szCs w:val="28"/>
        </w:rPr>
      </w:pPr>
    </w:p>
    <w:sectPr w:rsidR="000F7D43" w:rsidRPr="000F7D43" w:rsidSect="00C167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5FD93" w14:textId="77777777" w:rsidR="00380AF3" w:rsidRDefault="00380AF3" w:rsidP="003169D4">
      <w:pPr>
        <w:spacing w:after="0" w:line="240" w:lineRule="auto"/>
      </w:pPr>
      <w:r>
        <w:separator/>
      </w:r>
    </w:p>
  </w:endnote>
  <w:endnote w:type="continuationSeparator" w:id="0">
    <w:p w14:paraId="75CDCBD8" w14:textId="77777777" w:rsidR="00380AF3" w:rsidRDefault="00380AF3" w:rsidP="0031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7697" w14:textId="77777777" w:rsidR="003169D4" w:rsidRDefault="003169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3F1A0" w14:textId="6725D8C0" w:rsidR="003169D4" w:rsidRPr="003169D4" w:rsidRDefault="003169D4" w:rsidP="003169D4">
    <w:pPr>
      <w:pStyle w:val="Footer"/>
      <w:jc w:val="right"/>
      <w:rPr>
        <w:sz w:val="16"/>
        <w:szCs w:val="16"/>
      </w:rPr>
    </w:pPr>
    <w:r w:rsidRPr="003169D4">
      <w:rPr>
        <w:sz w:val="16"/>
        <w:szCs w:val="16"/>
      </w:rPr>
      <w:t>Revised 7.1.24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A488" w14:textId="77777777" w:rsidR="003169D4" w:rsidRDefault="00316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2423C" w14:textId="77777777" w:rsidR="00380AF3" w:rsidRDefault="00380AF3" w:rsidP="003169D4">
      <w:pPr>
        <w:spacing w:after="0" w:line="240" w:lineRule="auto"/>
      </w:pPr>
      <w:r>
        <w:separator/>
      </w:r>
    </w:p>
  </w:footnote>
  <w:footnote w:type="continuationSeparator" w:id="0">
    <w:p w14:paraId="6791DF27" w14:textId="77777777" w:rsidR="00380AF3" w:rsidRDefault="00380AF3" w:rsidP="0031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2C03" w14:textId="77777777" w:rsidR="003169D4" w:rsidRDefault="00316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A4B0C" w14:textId="77777777" w:rsidR="003169D4" w:rsidRDefault="003169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EC4C" w14:textId="77777777" w:rsidR="003169D4" w:rsidRDefault="003169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6E5A"/>
    <w:multiLevelType w:val="hybridMultilevel"/>
    <w:tmpl w:val="91A2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183E"/>
    <w:multiLevelType w:val="hybridMultilevel"/>
    <w:tmpl w:val="ED60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2F17"/>
    <w:multiLevelType w:val="hybridMultilevel"/>
    <w:tmpl w:val="ED60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6618"/>
    <w:multiLevelType w:val="hybridMultilevel"/>
    <w:tmpl w:val="C6FE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7F1D"/>
    <w:multiLevelType w:val="hybridMultilevel"/>
    <w:tmpl w:val="BBEE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0921"/>
    <w:multiLevelType w:val="hybridMultilevel"/>
    <w:tmpl w:val="ED60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27"/>
    <w:rsid w:val="00061F7B"/>
    <w:rsid w:val="000815D0"/>
    <w:rsid w:val="000F4E38"/>
    <w:rsid w:val="000F7D43"/>
    <w:rsid w:val="001659BC"/>
    <w:rsid w:val="001C65A0"/>
    <w:rsid w:val="002142C2"/>
    <w:rsid w:val="002254EC"/>
    <w:rsid w:val="00231157"/>
    <w:rsid w:val="002E3766"/>
    <w:rsid w:val="002E77A3"/>
    <w:rsid w:val="003169D4"/>
    <w:rsid w:val="00321CC7"/>
    <w:rsid w:val="00362275"/>
    <w:rsid w:val="003652D8"/>
    <w:rsid w:val="00380AF3"/>
    <w:rsid w:val="003B7C1A"/>
    <w:rsid w:val="00430EF9"/>
    <w:rsid w:val="00431B04"/>
    <w:rsid w:val="004A4C34"/>
    <w:rsid w:val="004B7837"/>
    <w:rsid w:val="00521571"/>
    <w:rsid w:val="00524950"/>
    <w:rsid w:val="005574B7"/>
    <w:rsid w:val="005B2776"/>
    <w:rsid w:val="005B5A52"/>
    <w:rsid w:val="005D2CCE"/>
    <w:rsid w:val="005E6C27"/>
    <w:rsid w:val="006015B3"/>
    <w:rsid w:val="0060557D"/>
    <w:rsid w:val="006329C6"/>
    <w:rsid w:val="00647B4B"/>
    <w:rsid w:val="00657AAB"/>
    <w:rsid w:val="006910F8"/>
    <w:rsid w:val="00696DBD"/>
    <w:rsid w:val="006B1D5E"/>
    <w:rsid w:val="006B6B5C"/>
    <w:rsid w:val="006C0892"/>
    <w:rsid w:val="006D5B07"/>
    <w:rsid w:val="00745CA1"/>
    <w:rsid w:val="00764930"/>
    <w:rsid w:val="007C1CF4"/>
    <w:rsid w:val="007E03B9"/>
    <w:rsid w:val="00827196"/>
    <w:rsid w:val="00843A69"/>
    <w:rsid w:val="00850CFF"/>
    <w:rsid w:val="0089528D"/>
    <w:rsid w:val="008F7447"/>
    <w:rsid w:val="009035BD"/>
    <w:rsid w:val="0092565A"/>
    <w:rsid w:val="009366F7"/>
    <w:rsid w:val="00943B71"/>
    <w:rsid w:val="009578E4"/>
    <w:rsid w:val="009C3EE6"/>
    <w:rsid w:val="009D2F11"/>
    <w:rsid w:val="009F604E"/>
    <w:rsid w:val="00A00364"/>
    <w:rsid w:val="00A213F4"/>
    <w:rsid w:val="00A403E6"/>
    <w:rsid w:val="00A70346"/>
    <w:rsid w:val="00AA08D6"/>
    <w:rsid w:val="00B30950"/>
    <w:rsid w:val="00B3204F"/>
    <w:rsid w:val="00B46D8D"/>
    <w:rsid w:val="00B57FF9"/>
    <w:rsid w:val="00BB182A"/>
    <w:rsid w:val="00BB1955"/>
    <w:rsid w:val="00C0634D"/>
    <w:rsid w:val="00C16662"/>
    <w:rsid w:val="00C16773"/>
    <w:rsid w:val="00C306E9"/>
    <w:rsid w:val="00C34918"/>
    <w:rsid w:val="00C71778"/>
    <w:rsid w:val="00C95879"/>
    <w:rsid w:val="00CE2644"/>
    <w:rsid w:val="00CE4ACD"/>
    <w:rsid w:val="00CF059A"/>
    <w:rsid w:val="00D206A2"/>
    <w:rsid w:val="00D569DE"/>
    <w:rsid w:val="00D60455"/>
    <w:rsid w:val="00D80926"/>
    <w:rsid w:val="00DE1B4E"/>
    <w:rsid w:val="00DE7B49"/>
    <w:rsid w:val="00DF3ED2"/>
    <w:rsid w:val="00E0385C"/>
    <w:rsid w:val="00E34C2C"/>
    <w:rsid w:val="00E35E24"/>
    <w:rsid w:val="00E4777A"/>
    <w:rsid w:val="00E67B62"/>
    <w:rsid w:val="00E73F50"/>
    <w:rsid w:val="00EB0BED"/>
    <w:rsid w:val="00EB6826"/>
    <w:rsid w:val="00EC5912"/>
    <w:rsid w:val="00EC73CE"/>
    <w:rsid w:val="00EE6C4F"/>
    <w:rsid w:val="00F34A39"/>
    <w:rsid w:val="00F509CA"/>
    <w:rsid w:val="00F6731F"/>
    <w:rsid w:val="00F75820"/>
    <w:rsid w:val="00F86375"/>
    <w:rsid w:val="00FB148E"/>
    <w:rsid w:val="00FB6DD7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FC09"/>
  <w15:chartTrackingRefBased/>
  <w15:docId w15:val="{B60B0791-33C4-4912-BF9A-2B513031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C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F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7F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FF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D4"/>
  </w:style>
  <w:style w:type="paragraph" w:styleId="Footer">
    <w:name w:val="footer"/>
    <w:basedOn w:val="Normal"/>
    <w:link w:val="FooterChar"/>
    <w:uiPriority w:val="99"/>
    <w:unhideWhenUsed/>
    <w:rsid w:val="0031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owaeda.com/UserDocs/downtowndesignguid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6984-EB0E-409A-BFCF-5C9A7BA2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Marck</dc:creator>
  <cp:keywords/>
  <dc:description/>
  <cp:lastModifiedBy>WACC</cp:lastModifiedBy>
  <cp:revision>14</cp:revision>
  <cp:lastPrinted>2023-05-30T19:09:00Z</cp:lastPrinted>
  <dcterms:created xsi:type="dcterms:W3CDTF">2024-12-03T19:47:00Z</dcterms:created>
  <dcterms:modified xsi:type="dcterms:W3CDTF">2026-02-04T20:18:00Z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a5ed2a275b909adb198ed15639ec4d233fa904306b3ecb1f7038636df104d291</vt:lpwstr>
  </property>
</Properties>
</file>